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ATAS/1175/2009 vom 22. September 2009</w:t>
      </w:r>
    </w:p>
    <w:p>
      <w:r>
        <w:t>GE Cour de justice, 2009-09-22, FR</w:t>
      </w:r>
    </w:p>
    <w:p>
      <w:r>
        <w:rPr>
          <w:b/>
        </w:rPr>
        <w:t xml:space="preserve">Quelle: </w:t>
      </w:r>
      <w:r>
        <w:t>https://mcp.opencaselaw.ch/entscheid/ge_gerichte_ATAS_1175_2009</w:t>
      </w:r>
    </w:p>
    <w:p>
      <w:r>
        <w:t>FR: GE_GERICHTE ATAS/1175/2009 du 22 septembre 2009</w:t>
      </w:r>
    </w:p>
    <w:p>
      <w:r>
        <w:t>IT: GE_GERICHTE ATAS/1175/2009 del 22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l'OCAI de supprimer le quart de rente d'invalidité jusque-là octroyé à l'assurée. Dans son recours, celle-ci conclut à « l'octroi d'une demi-rente ». Le Tribunal de céans part de l’idée qu’il s’agit là d’une erreur de plume, l’assurée souhaitant en réalité le maintien du quart de rente confirmé par l’arrêt du 18 mars 2008. Elle se réfère en effet expressément à l’appréciation des experts de la CRR, lesquels considèrent qu'elle présente une incapacité de travail de 40%.</w:t>
      </w:r>
    </w:p>
    <w:p>
      <w:r>
        <w:t>Dans son arrêt du 18 mars 2008, le Tribunal de céans avait rétabli le droit de l'assurée au quart de rente qui lui avait été reconnu dès le 1er avril 1998. Cet arrêt est entré en force de chose jugée. Il s'agit dès lors de déterminer si l'état de santé de l'assurée s'est ou non amélioré depuis.</w:t>
      </w:r>
    </w:p>
    <w:p>
      <w:r>
        <w:t>A/1760/2009 - 6/10 -</w:t>
      </w:r>
    </w:p>
    <w:p>
      <w:r>
        <w:rPr>
          <w:b/>
        </w:rPr>
        <w:t>E. 5</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w:t>
      </w:r>
    </w:p>
    <w:p>
      <w:r>
        <w:t>A/1760/2009 - 7/10 -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7</w:t>
      </w:r>
    </w:p>
    <w:p>
      <w:r>
        <w:t>Le Tribunal de céans constate que l'expertise du Dr B___________ du 12 décembre 2008, se fonde sur une anamnèse familiale, personnelle, professionnelle et médicale de l’assurée. Le status somatique et psychiatrique est décrit et les plaintes de l’assurée sont prises en considération. L’appréciation de la situation médicale est claire. Le Tribunal de céans s'interroge toutefois sur la valeur probante du rapport d'expertise pour les motifs suivants. L'expert a considéré que l’état de santé de l’assurée n’était pas significativement différent de celui existant en février 2002 et a ainsi conclu que la capacité de travail de l’assurée était de 60% comme retenu par les médecins du COMAI. Or les deux diagnostics qu'avaient posés les médecins du COMAI en février 2002, soit ceux de fibromyalgie et d'état dépressif récurrent moyen, ne sont plus retenus par le Dr B___________. Celui-ci en effet a écarté celui de fibromyalgie, en raison de l'absence des points classiquement décrits comme douloureux dans les critères de classification de ce syndrome. Il a constaté que la patiente souffrait de troubles du rachis dorsolombaire qu'il a qualifiés de modérés et a décrit les limitations fonctionnelles suivantes : port de charges au-delà de 10 kg, travaux en flexion et rotation du tronc et possibilité d'alterner les positions. On peut en déduire que dans une activité qui respecterait ces limitations, la capacité de travail est entière. Le Dr B___________ ne constate par ailleurs plus d'état dépressif récurrent, mais une dysthymie avec un trouble de la personnalité de type infantile et dépendant. On voit mal que ce diagnostic puisse justifier une incapacité de travail de 40%, d'autant moins que l'expert a précisé que l'assurée ne présentait pas de signes de dépression majeure, mais souffrait de la persistance d'une humeur triste et chronique. Force est ainsi de constater que si les médecins du COMAI d'une part et le Dr B___________ d'autre part, ont apprécié de façon similaire le taux d'incapacité de travail le fixant à 40%, ils n'ont en revanche pas retenu les mêmes diagnostics. De ceux constatés par le Dr B___________, on ne peut que conclure à l'amélioration de l'état de santé de l'assurée, ce qui motive la révision du quart de rente.</w:t>
      </w:r>
    </w:p>
    <w:p>
      <w:r>
        <w:t>A/1760/2009 - 9/10 - Par conséquent, c'est à juste titre que l’OCAI a supprimé la rente de l’assurée. Aussi le recours doit-il être rejeté, étant toutefois rappelé à l’assurée qu’il lui est loisible de solliciter en tout temps une mesure d’aide au placement auprès de l’OCAI (art. 18 LAI).</w:t>
      </w:r>
    </w:p>
    <w:p>
      <w:r>
        <w:t>A/1760/2009 - 10/10 -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