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ATAS/1174/2019 vom 17. Dezember 2019</w:t>
      </w:r>
    </w:p>
    <w:p>
      <w:r>
        <w:t>GE Cour de justice, 2019-12-17, FR</w:t>
      </w:r>
    </w:p>
    <w:p>
      <w:r>
        <w:rPr>
          <w:b/>
        </w:rPr>
        <w:t xml:space="preserve">Quelle: </w:t>
      </w:r>
      <w:r>
        <w:t>https://mcp.opencaselaw.ch/entscheid/ge_gerichte_ATAS_1174_2019</w:t>
      </w:r>
    </w:p>
    <w:p>
      <w:r>
        <w:t>FR: GE_GERICHTE ATAS/1174/2019 du 17 décembre 2019</w:t>
      </w:r>
    </w:p>
    <w:p>
      <w:r>
        <w:t>IT: GE_GERICHTE ATAS/1174/2019 del 17 dicembre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degré d’invalidité de la recourante, plus particulièrement sur le statut à lui reconnaître.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w:t>
      </w:r>
    </w:p>
    <w:p>
      <w:r>
        <w:t>A/1823/2019 - 6/11 - pas objectivement surmontable (al. 2 en vigueur dès le 1er janvier 2008). Pour les personnes sans activité rémunérée, qui sont aussi couvertes par la LAI, la loi consacre une conception particulière de l'invalidité, qui substitue la capacité d’accomplir les travaux habituels à la capacité de gain; est déterminant l'empêchement, causé par l'atteinte à la santé, d'accomplir les travaux habituels, comme la tenue du ménage, l'éducation des enfants, les achats, ainsi que toute activité artistique ou d'utilité publique (art. 8 al. 3 LPGA, auquel renvoie l'art. 5 al. 1 LAI ; art. 27 du règlement sur l'assurance-invalidité, du 17 janvier 1961 [RAI – RS 831.201]).</w:t>
      </w:r>
    </w:p>
    <w:p>
      <w:r>
        <w:rPr>
          <w:b/>
        </w:rPr>
        <w:t>E. 6</w:t>
      </w:r>
    </w:p>
    <w:p>
      <w:r>
        <w:t>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en moyenne durant une année sans interruption notable, et qu’au terme de cette année il soit invalide à 40 % au moins (art. 28 al. 1 LAI), la rente d’invalidité alors allouée étant un quart de rente, une demie-rente, un trois quarts de rente ou une rente entière selon que le taux d’invalidité est, respectivement, de 40 à 49%, de 50 à 59%, de 60 à 69% ou de 70% ou plus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w:t>
      </w:r>
    </w:p>
    <w:p>
      <w:r>
        <w:t>A/1823/2019 - 7/11 -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De jurisprudence constante, le statut d'un assuré dépend du point de savoir s'il aurait exercé une activité lucrative si son état de santé le lui avait permis. Si la détermination du statut doit prendre en compte sa volonté hypothétique, cette volonté ne peut être admise sans autres éléments de preuve, mais doit être confortée par des indices extérieurs (arrêt du Tribunal fédéral 9C_352/2014 du 14 octobre 2014 consid. 3.3 et les références). À titre d'exemples, le Tribunal fédéral a confirmé le statut de non active d'une mère qui n'avait travaillé que durant deux mois en 2006, depuis son arrivée en Suisse en 1992, qui n'avait fourni aucune pièce attestant de recherches d'emplois depuis 1992, qui s'était annoncée comme femme au foyer et n'avait recherché aucun emploi avant sa maladie, alors qu'elle disait avoir la volonté de travailler (arrêt du Tribunal fédéral précité 9C_352/2014 du 14 octobre 2014). À l'inverse, il a admis le statut d'active à 100% d'une assurée, en prenant en compte les modestes revenus de son mari, les enfants désormais adultes et une activité exercée à temps complet pendant huit mois avant d'être atteinte dans sa santé (arrêt du Tribunal fédéral 9C 260/2013 du 9 août 2013).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t>A/1823/2019 - 8/11 -</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En l’espèce, l’OAI a retenu un statut de ménagère, au motif que l’assurée n’a plus eu d’activité depuis environ dix ans et n’a jamais travaillé plus de quelques jours au même endroit. Il a considéré que l’atteinte à la santé dont elle souffrait avait des répercussions sur sa capacité de travail dès janvier 2014, mais que l’empêchement à accomplir les tâches ménagères était de 15%. Aussi a-t-il nié le droit de l’assurée à toute prestation AI. Pour sa part, l’assurée conteste le statut retenu par l’OAI.</w:t>
      </w:r>
    </w:p>
    <w:p>
      <w:r>
        <w:rPr>
          <w:b/>
        </w:rPr>
        <w:t>E. 11</w:t>
      </w:r>
    </w:p>
    <w:p>
      <w:r>
        <w:t>a. Il ressort de l’extrait du compte individuel de cotisations de l’assurée que celle-ci n’a occupé que trois emplois d’une durée d’un mois chacun en août 2001, novembre 2004 et avril 2007. Elle s’est par ailleurs occupée de ses deux demi- sœurs, nées en 1992 et 1994, de 1995 à 2000, puis de 2004 à 2005. Force est ainsi de constater qu’elle n’a véritablement exercé aucune activité lucrative de manière durable. b. Elle a toutefois déclaré à l’infirmière chargée de l’enquête ménagère qu’en bonne santé, elle aurait travaillé « pour des raisons financières, pour pouvoir sortir et avoir un cadre ». Il y a à cet égard lieu de relever qu’elle est soutenue financièrement par l’Hospice général depuis mai 2005, et que depuis 2007, celui-ci complète le revenu du mari, lequel est depuis cette date, en fin de droit au chômage. Elle a par ailleurs des dettes à hauteur d’environ CHF 36'000.- depuis plusieurs années.</w:t>
      </w:r>
    </w:p>
    <w:p>
      <w:r>
        <w:rPr>
          <w:b/>
        </w:rPr>
        <w:t>E. 12</w:t>
      </w:r>
    </w:p>
    <w:p>
      <w:r>
        <w:t>a. L'assurée soutient que ce sont ses problèmes de santé qui l’ont empêchée de travailler.</w:t>
      </w:r>
    </w:p>
    <w:p>
      <w:r>
        <w:t>A/1823/2019 - 9/11 - b. Il y a lieu de constater que le Dr D______ a retenu, dans son rapport du 26 juin 2017, que l’assurée présentait une personnalité anxieuse évitante, peut-être depuis l’adolescence, des troubles mixtes de la personnalité, peut-être depuis le début de l’âge adulte, des phobies spécifiques, peut-être depuis l’enfance, qui se sont intensifiées avec les années, et un trouble dépressif récurrent, au moins depuis 2007, épisode actuel léger sans syndrome somatique. Il paraît certes difficile pour le médecin de dater précisément les dates auxquelles ces troubles sont apparus. Il indique toutefois qu’ils sont présents depuis longtemps, soit respectivement depuis l’enfance, depuis l’adolescence ou encore depuis le début de l’âge adulte, ce qui est corroboré par le fait qu’elle a été hospitalisée en milieu psychiatrique à l’âge de 21-22 ans déjà. Elle a à trois reprises tenté de travailler, sans succès. Le Dr D______ a à cet égard rapporté que selon sa patiente, les trois emplois ont été interrompus dans des contextes de difficultés relationnelles avec les collègues ou les chefs. Il ressort de l’enquête ménagère qu’« à la fin du cycle d’orientation (1995 ou 1996), l’assurée a dû s’occuper de deux petites demi-sœurs, car sa mère était malade. Elle n’a pas pu commencer une formation professionnelle ». Il est vrai que rien ne permet de penser que cette situation était liée à son état de santé. Il convient toutefois de constater qu'en aidant sa mère à la maison, elle restait dans le cadre familial, ce qui lui permettait de ne pas avoir à affronter le monde du travail dont elle avait peur, étant rappelé que, souffrant d'une phobie de se faire agresser ou de se faire tuer, elle évite de sortir seule de chez elle et de se retrouver confrontée aux regards des gens. Qui plus est, selon le Dr D______, l’assurée souhaitait essayer une mesure de réadaptation professionnelle adaptée, tout en doutant des résultats, en raison plus particulièrement de sa crainte de se rendre dans des ateliers protégés en raison des personnes qu’elle pourrait y rencontrer. Le médecin a insisté sur le fait qu'elle a vraiment besoin de savoir de quoi elle est capable et qu’elle est ravie de pouvoir, grâce à l’aide de l’AI, débuter une mesure pour le savoir. Il s'avère toutefois que la mesure de réinsertion accordée par l'AI a dû être clôturée et un taux d’invalidité de 100% pour la partie professionnelle lui a été reconnu après les mesures de réadaptation. Il résulte de ce qui précède que l'assurée, motivée, avait la volonté d'entreprendre une mesure de réadaptation professionnelle, mais que son état de santé l'en a empêchée. Il apparaît ainsi vraisemblable, au degré requis par la jurisprudence, que les troubles dont souffre l’assurée sur le plan psychiatrique ont joué un rôle déterminant dans le fait qu’elle n’ait pas travaillé, à l'exception de trois emplois de très courte durée en 2001, 2004 et 2007. On ne peut que constater dans ces conditions qu’en bonne santé, elle aurait, pour des raisons financières, recherché à exercer une activité lucrative ne nécessitant aucune formation spéciale, afin de subvenir à ses besoins et</w:t>
      </w:r>
    </w:p>
    <w:p>
      <w:r>
        <w:t>A/1823/2019 - 10/11 - ne pas être à la charge de l'Hospice Général, et ce depuis 2005, date depuis laquelle ses demi-sœurs n'ont plus eu besoin d'elle.</w:t>
      </w:r>
    </w:p>
    <w:p>
      <w:r>
        <w:rPr>
          <w:b/>
        </w:rPr>
        <w:t>E. 13</w:t>
      </w:r>
    </w:p>
    <w:p>
      <w:r>
        <w:t>Reste à déterminer à quel taux elle aurait travaillé. On ne peut se fonder sur le taux d'activité qu'elle aurait indiqué en s'inscrivant auprès de l'office cantonal de l'emploi, dès lors qu'elle n'a pu s'annoncer au chômage au vu des circonstances. On ne peut pas non plus déterminer quel aurait été son souhait à cet égard. L'OAI n'a par ailleurs pas eu la possibilité de se prononcer sur cette question.</w:t>
      </w:r>
    </w:p>
    <w:p>
      <w:r>
        <w:rPr>
          <w:b/>
        </w:rPr>
        <w:t>E. 14</w:t>
      </w:r>
    </w:p>
    <w:p>
      <w:r>
        <w:t>Il se justifie en conséquence d'admettre le recours et de renvoyer la cause à l'OAI afin qu'il fixe le taux de l'activité lucrative qu'aurait exercée l'assurée, si elle avait été en bonne santé, en se fondant sur sa situation économique et sur celle de son époux, puis rende une nouvelle décision, compte tenu d'un statut mixte.</w:t>
      </w:r>
    </w:p>
    <w:p>
      <w:r>
        <w:t>A/1823/2019 - 11/11 -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