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ATAS/1174/2017 vom 20. Dezember 2017</w:t>
      </w:r>
    </w:p>
    <w:p>
      <w:r>
        <w:t>GE Cour de justice, 2017-12-20, FR</w:t>
      </w:r>
    </w:p>
    <w:p>
      <w:r>
        <w:rPr>
          <w:b/>
        </w:rPr>
        <w:t xml:space="preserve">Quelle: </w:t>
      </w:r>
      <w:r>
        <w:t>https://mcp.opencaselaw.ch/entscheid/ge_gerichte_ATAS_1174_2017</w:t>
      </w:r>
    </w:p>
    <w:p>
      <w:r>
        <w:t>FR: GE_GERICHTE ATAS/1174/2017 du 20 décembre 2017</w:t>
      </w:r>
    </w:p>
    <w:p>
      <w:r>
        <w:t>IT: GE_GERICHTE ATAS/1174/2017 del 20 dicembre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point de savoir si l’OCE était fondé à suspendre le droit à l’indemnité de chômage de l’assuré pour une durée de huit jours, au motif qu’il ne s’est pas présenté à l’entretien de conseil du 2 mai 2017.</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w:t>
      </w:r>
    </w:p>
    <w:p>
      <w:r>
        <w:t>A/2704/2017 - 4/7 -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w:t>
      </w:r>
    </w:p>
    <w:p>
      <w:r>
        <w:t>A/2704/2017 - 5/7 - l'inégalité de traitement, le principe de la bonne foi et le principe de la proportionnalité (ATF 123 V 150 consid. 2).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RUBIN, op. cit., ch. 17 et 63 ad art. 30).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Il résulte du barème des suspensions établi par le SECO que lorsque l’assuré n’observe pas les instructions de l’OCE, en ne se rendant notamment pas à un entretien de conseil, sans excuse valable, l’autorité doit infliger une sanction de 5 à</w:t>
      </w:r>
    </w:p>
    <w:p>
      <w:r>
        <w:rPr>
          <w:b/>
        </w:rPr>
        <w:t>E. 8</w:t>
      </w:r>
    </w:p>
    <w:p>
      <w:r>
        <w:t>Aussi le recours est-il admis et la décision du 13 juin 2017 annulée.</w:t>
      </w:r>
    </w:p>
    <w:p>
      <w:r>
        <w:t>A/2704/2017 - 7/7 -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