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ATAS/1174/2013 vom 26. November 2013</w:t>
      </w:r>
    </w:p>
    <w:p>
      <w:r>
        <w:t>GE Cour de justice, 2013-11-26, FR</w:t>
      </w:r>
    </w:p>
    <w:p>
      <w:r>
        <w:rPr>
          <w:b/>
        </w:rPr>
        <w:t xml:space="preserve">Quelle: </w:t>
      </w:r>
      <w:r>
        <w:t>https://mcp.opencaselaw.ch/entscheid/ge_gerichte_ATAS_1174_2013</w:t>
      </w:r>
    </w:p>
    <w:p>
      <w:r>
        <w:t>FR: GE_GERICHTE ATAS/1174/2013 du 26 novembre 2013</w:t>
      </w:r>
    </w:p>
    <w:p>
      <w:r>
        <w:t>IT: GE_GERICHTE ATAS/1174/2013 del 26 novembre 2013</w:t>
      </w:r>
    </w:p>
    <w:p>
      <w:pPr>
        <w:pStyle w:val="Heading2"/>
      </w:pPr>
      <w:r>
        <w:t>Erwägungen</w:t>
      </w:r>
    </w:p>
    <w:p>
      <w:r>
        <w:rPr>
          <w:b/>
        </w:rPr>
        <w:t>E. 21</w:t>
      </w:r>
    </w:p>
    <w:p>
      <w:r>
        <w:t>L’OAI, se fondant sur l’avis du SMR, a confirmé ses conclusions tendant au rejet du recours.</w:t>
      </w:r>
    </w:p>
    <w:p>
      <w:r>
        <w:rPr>
          <w:b/>
        </w:rPr>
        <w:t>E. 22</w:t>
      </w:r>
    </w:p>
    <w:p>
      <w:r>
        <w:t>L’assurée s’est déterminée le 9 octobre 2013. Elle constate que le rapport d’expertise confirme pour l’essentiel les faits qu’elle avait exposés dans son recours, « à la différence près que les experts concluent à une capacité de travail de 50% ». Elle persiste par ailleurs à contester le taux d’incapacité à accomplir les tâches ménagères de 28,5% retenu par l’OAI. Elle maintient que ce taux doit être fixé à 76% selon les explications données dans son recours, ce qui donnerait un degré d’invalidité de 70%.</w:t>
      </w:r>
    </w:p>
    <w:p>
      <w:r>
        <w:rPr>
          <w:b/>
        </w:rPr>
        <w:t>E. 23</w:t>
      </w:r>
    </w:p>
    <w:p>
      <w:r>
        <w:t>Les courriers des parties ont été transmis et la cause gardée à juger. 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Interjeté dans les forme et délai prévus par la loi, devant l'autorité compétente, le recours est en conséquence recevable (art. 56 ss LPGA). 3. Le litige porte sur le droit de l'assurée à une rente d'invalidité. 4. En l'espèce, l'OAI a nié le droit de l'assurée à des prestations AI, se fondant sur un degré d'invalidité de 36%. 5.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w:t>
      </w:r>
    </w:p>
    <w:p>
      <w:r>
        <w:t>A/2380/2010 - 10/20 - sociales, est une notion économique et non médicale ; ce sont les conséquences économiques objectives de l’incapacité fonctionnelle qu’il importe d’évaluer (ATF 110 V 275 consid. 4a ; 105 V 207 consid. 2).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A/2380/2010 - 11/20 -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7. En l'espèce, l'OAI a considéré, sur la base du rapport établi le 3 juin 2008 par les Drs B__________ et C__________ du SMR, que l'assurée présentait une incapacité de travail de 50% dans son activité habituelle, laquelle respectait ses limitations fonctionnelles. 8. La Cour de céans, constatant que les conclusions des médecins du SMR divergeaient de celles du Dr A__________ et de la Dresse E__________, tant sur</w:t>
      </w:r>
    </w:p>
    <w:p>
      <w:r>
        <w:t>A/2380/2010 - 12/20 - les diagnostics posés que sur l'évaluation de la capacité résiduelle de travail, a ordonné une expertise pluridisciplinaire qu’elle a confiée aux Drs F__________ et G__________, et à la Dresse H__________. 9. Les experts ont clairement indiqué que les polyarthralgies dont souffrait l’assurée étaient dues aux traitements subis (chimiothérapie, annexectomie bilatérale et inhibiteurs de l’aromatase – Femara), et ont dès lors écarté le diagnostic de fibromyalgie. Ils ont par ailleurs retenu un épisode dépressif moyen. Ils ont considéré que l’assurée pourrait assumer une activité lucrative de secrétaire à un taux de 50%, avec un rendement peut-être légèrement diminué en raison de la baisse de ses capacités de concentration. 10. Le SMR a considéré que le rapport d’expertise qui lui était soumis n’était pas une expertise pluridisciplinaire, puisque les parties et les diagnostics étaient séparés. Il s’est dès lors expressément référé à son précédent avis du 5 avril 2011, et conclu à une incapacité de travail de 50%. 11. L’assurée a quant à elle rappelé que le diagnostic de fibromyalgie avait été totalement écarté et pris note du taux retenu de 50%. 12. En l'espèce, l'expertise réalisée par les Drs F__________, G__________ et H__________ satisfait aux réquisits développés par la jurisprudence et doit dès lors se voir reconnaître une pleine valeur probante. Les experts ont en effet étudié le dossier médical de l'assurée, établi l'anamnèse, recensé ses plaintes et se sont entretenus avec les médecins traitants. Ils ont également procédé à des examens cliniques et ont pris des conclusions claires, qu'ils ont pris soin de motiver de manière convaincante. Les critiques formulées par le SMR à l'égard de l'expertise à propos de l'absence de caractère multidisciplinaire tombent à faux, dans la mesure où les experts se sont précisément réunis en consilium pour répondre aux questions qui leur étaient posées. Il convient quoi qu'il en soit de retenir ce taux de 50%. 13. Reste à déterminer le degré d'invalidité. En vertu de l’art. 28 al. 2 LAI, l’assuré a droit à une rente entière s’il est invalide à 70% au moins, à un trois-quarts de rente s'il est invalide à 60% au moins, à une demi-rente s’il est invalide à 50% au moins, ou à un quart de rente s’il est invalide à 40% au moins. 14. Tant lors de l'examen initial du droit à la rente qu'à l'occasion d'une révision de celle-ci il faut examiner quelle méthode d'évaluation de l'invalidité il convient d'appliquer. Le choix de l'une des trois méthodes considérées (méthode générale de</w:t>
      </w:r>
    </w:p>
    <w:p>
      <w:r>
        <w:t>A/2380/2010 - 13/20 - comparaison des revenus [art. 28a al.1 LAI en corrélation avec l'art. 16 LPGA], méthode spécifique [art. 28 a al.2 LAI en corrélation avec les art. 27 RAI et 8 al. 3 LPGA], méthode mixte [art. 28a al. 3 LAI en corrélation avec l'art. 27bis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396 consid. 3.3, 125 V 150 consid. 2c, 117 V 194 consid. 3b et les références). 15.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28a al. 1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w:t>
      </w:r>
    </w:p>
    <w:p>
      <w:r>
        <w:t>A/2380/2010 - 14/20 - 126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 nouveau domaine d’activité, l’intégralité du marché du travail étant ainsi à sa disposition (arrêt 9C_237/2007 du 24 août 2007 consid. 5.1 et 5.2, non publiés aux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t>A/2380/2010 - 15/20 - L'invalidité d'un assuré qui n'exerce pas d'activité lucrative et dont on ne peut raisonnablement exiger qu'il en entreprenne une est évaluée, en dérogation de la méthode ordinaire de comparaison des revenus, en fonction de l'incapacité d'accomplir ses travaux habituels. Par travaux habituels d'une personne travaillant dans le ménage, il faut entendre notamment l'activité usuelle dans le ménage, l'éducation des enfants ainsi que toute activité artistique ou d'utilité publique. C'est la méthode spécifique (art. 28a al. 2 LAI en corrélation avec les art. 27 RAI et 8 al. 3 LPGA; ATFA du 20 avril 2007, I 288/06).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En ce qui concerne l'incapacité d'accomplir les travaux habituels en raison d'une atteinte à la santé, l'enquête économique sur le ménage effectuée au domicile de l'assuré (cf. art. 69 al. 2 RAI) constitue en règle générale une base appropriée et suffisante pour évaluer les empêchements dans ce domaine (sur les exigences relatives à la valeur probante d'un tel rapport d'enquête, voir arrêt I 90/02 du 30 décembre 2002).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arrêt 9C 108/2009 du 29 octobre 2009).</w:t>
      </w:r>
    </w:p>
    <w:p>
      <w:r>
        <w:t>A/2380/2010 - 16/20 - Pour satisfaire à l'obligation de réduire le dommage (voir ATF 129 V 463 consid. 4.2,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 du 14 janvier 2005 [I 308/04 et I 309/04] et S.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ATFA du 17 mars 2005, I 257/04). 12. Selon l'art. 28a al. 3 LAI,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d’après le handicap dont la personne est affectée dans les deux domaines d’activité. De jurisprudence constante le Tribunal fédéral des assurances a considéré que cette méthode était conforme à la loi et à la volonté du législateur (ATF 125 V 146). 16. En l'espèce, l'OAI a retenu un statut mixte pour l'assurée, réparti à raison de 80% pour la sphère professionnelle, et de 20% pour la sphère ménagère, ce que l'assurée ne conteste pas. 17. S’agissant de la part professionnelle, l’OAI a procédé correctement à la comparaison des gains, de sorte que le degré d’invalidité de 38% doit être confirmé pour une incapacité de travail de 50%.</w:t>
      </w:r>
    </w:p>
    <w:p>
      <w:r>
        <w:t>A/2380/2010 - 17/20 - 18. L'assurée semble s'étonner de ce que les experts ne se soient pas prononcés - et de n'avoir pas été invités à le faire - sur l’incapacité de l’assurée de s’acquitter des tâches ménagères, et reproche à l'OAI, respectivement au SMR, de l'avoir fixée unilatéralement et arbitrairement à 28,5%. Or,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ainsi à une enquête sur les activités ménagères et fixe l'empêchement dans chacune des activités habituelles conformément aux chiffres 3095 de la circulaire concernant l'invalidité et l'impotence de l'assurance-invalidité (CIIAI).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19. De l'enquête ménagère réalisée le 30 septembre 2008, il résulte un degré d'incapacité à accomplir les tâches quotidiennes de 28,5%. L'assurée conteste ce taux. Il y a lieu de relever d'emblée que l'enquêtrice chargée de déterminer les empêchements rencontrés par l'assurée dans la tenue de son ménage, a</w:t>
      </w:r>
    </w:p>
    <w:p>
      <w:r>
        <w:t>A/2380/2010 - 18/20 - expressément relevé que "dans la sphère ménagère, les empêchements de l'assurée sont relativement importants en raison de nombreuses limitations fonctionnelles". Dans une note de travail datée du 2 juin 2010, elle a précisé que le taux retenu de 28,5% tenait non seulement compte de l'obligation de réduire le dommage de la part de l'assurée, mais également de l'aide exigible de la part des membres de sa famille, soit son mari et ses deux enfants âgés de 15 et 20 ans, dans l'ensemble des tâches ménagères. 20. La Cour de céans relève à titre liminaire que le rapport d'enquête ménagère a été élaboré par une personne qualifiée ayant connaissance de la situation locale et spatiale, ainsi que des empêchements et des handicaps résultant des diagnostics médicaux, que le résultat des observations effectuées est motivé et rédigé de façon suffisamment détaillée en ce qui concerne les diverses limitations. Par ailleurs, il n'est pas contesté que ce rapport correspond aux indications données sur place par la recourante. À la lumière de ces éléments, le rapport d'enquête ménagère du 30 septembre 2008 doit se voir reconnaître pleine valeur probante. 21. S'agissant du rapport d'enquête ménagère en tant que tel, la recourante ne remet pas en cause la pondération des différents champs d'activité par l'enquêtrice. En revanche, elle conteste les taux d'empêchement et d'exigibilité retenus pour la conduite du ménage (planification/organisation/répartition du travail/contrôle), - seul un empêchement de 10% a été pris en compte -, l’alimentation (préparation/cuisson/service/travaux de nettoyage de la cuisine/provisions), - son mari et sa fille assumant cette tâche -, et l’entretien du jardin, - seul son mari s’en occupant -. Elle considère qu’un taux de 100% aurait dû être fixé pour ces trois types d’activités. S’agissant de l’entretien du logement (épousseter/passer l’aspirateur/entretenir les sols/nettoyer les vitres/faire les lits), dans la mesure où ce sont ses enfants, son mari ainsi que la femme de ménage qui s’en occupent, elle-même ne pouvant qu’épousseter et balayer, c’est un empêchement d’au moins 50%, et non de 40%, qui aurait dû s’imposer. Si elle s’acquittait des tâches d’ordre administratif, elle était par ailleurs totalement incapable de faire ses courses, de sorte que son degré d’empêchement pour cette rubrique était d’au moins 75%. L’assurée conclut ainsi à un taux d’empêchement à accomplir les travaux habituels de 76%. Force est toutefois de constater que c’est à juste titre que l’enquêtrice a tenu compte de l’aide apportée par le mari et les enfants de l’assurée. La Cour de céans relève à cet égard que la fixation d'une exigibilité globale de 30% à la charge du mari et des enfants dans la sphère ménagère paraît tout à fait admissible, quoi qu'en dise la</w:t>
      </w:r>
    </w:p>
    <w:p>
      <w:r>
        <w:t>A/2380/2010 - 19/20 - recourante (cf. ATAS 255/2013 du 13 mars 2013; ATAS 131/2013 du 5 février 2013; ATAS 1273/2012 du 23 octobre 2012 où une exigibilité de près de 30% avait été reconnue également). Il résulte de ce qui précède qu'on ne saurait faire grief à l'intimé de s'être fondé sur les résultats de l'enquête du 23 septembre 2008, selon lesquels l’incapacité est de 28,5% dans la sphère ménagère. Le degré d'invalidité de l'assurée doit ainsi se calculer sur la base d’une incapacité de gain de 38% et d’un empêchement à accomplir les travaux habituels de 29%, ce qui donne un degré d’invalidité total inférieur à 40%, de sorte que le recours ne peut être que rejeté.</w:t>
      </w:r>
    </w:p>
    <w:p>
      <w:r>
        <w:t>A/2380/2010 - 20/20 -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