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ATAS/1173/2017 vom 20. Dezember 2017</w:t>
      </w:r>
    </w:p>
    <w:p>
      <w:r>
        <w:t>GE Cour de justice, 2017-12-20, FR</w:t>
      </w:r>
    </w:p>
    <w:p>
      <w:r>
        <w:rPr>
          <w:b/>
        </w:rPr>
        <w:t xml:space="preserve">Quelle: </w:t>
      </w:r>
      <w:r>
        <w:t>https://mcp.opencaselaw.ch/entscheid/ge_gerichte_ATAS_1173_2017</w:t>
      </w:r>
    </w:p>
    <w:p>
      <w:r>
        <w:t>FR: GE_GERICHTE ATAS/1173/2017 du 20 décembre 2017</w:t>
      </w:r>
    </w:p>
    <w:p>
      <w:r>
        <w:t>IT: GE_GERICHTE ATAS/1173/2017 del 20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w:t>
      </w:r>
    </w:p>
    <w:p>
      <w:r>
        <w:t>A/320/2017 - 10/29 -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l’assurée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A/320/2017 - 11/29 -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294g consid. 4c, ATF 102 V 165; VSI 2001 p. 224 consid. 2b et les références). Les principes jurisprudentiels développés en matière de troubles somatoformes douloureux s’appliquent à la fibromyalgie (ATF 132 V 65 consid. 4.1).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Toutefois,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A/320/2017 - 12/29 - 1.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A/320/2017 - 13/29 -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A/320/2017 - 14/29 -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Si, dans sa nouvelle jurisprudence, le Tribunal fédéral a abandonné la présomption du caractère surmontable du syndrome douloureux somatoforme,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 ; ATF 131 V 49 consid. 1.2 et les références).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A/320/2017 - 15/29 -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A/320/2017 - 16/29 -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En l’espèce, l’OAI a nié le droit de l’assurée à une rente d’invalidité, au motif que le degré d’invalidité de 28% était insuffisant. Il s’est fondé sur le rapport d’expertise des médecins de la CRR du 24 mai 2016, selon lesquels le trouble psychique conduit à une incapacité de travail de 50% dans quelque activité que ce soit, les migraines étant responsables uniquement d’une baisse de rendement, ce dès la date de l’arrêt de travail, soit depuis avril 2011. L’OAI a également pris en compte un empêchement à accomplir les tâches ménagères qu’il a lui-même estimé à 10%, ce qui donne un taux de 2,5% pour une occupation de 25%.</w:t>
      </w:r>
    </w:p>
    <w:p>
      <w:r>
        <w:rPr>
          <w:b/>
        </w:rPr>
        <w:t>E. 11</w:t>
      </w:r>
    </w:p>
    <w:p>
      <w:r>
        <w:t>Il s’agit d’abord d’examiner la valeur probante de l’expertise du 24 mai 2016.</w:t>
      </w:r>
    </w:p>
    <w:p>
      <w:r>
        <w:t>A/320/2017 - 17/29 - Il y a lieu de constater que dans leur rapport d’expertise du 24 mai 2016, les médecins de la CRR ont pris en considération l’ensemble des rapports médicaux de l’assurée, ainsi que ses plaintes. L’examen a été établi sur la base d’une anamnèse complète. La description de la situation médicale est claire. Les experts ont au demeurant retenu les diagnostics correspondant à ceux posés par les médecins traitants. Ils se sont exprimés sur la capacité de travail exigible de l’assurée en motivant dûment leur point de vue. Il en découle que le rapport d’expertise remplit toutes les exigences de la jurisprudence permettant de lui reconnaître à la forme valeur probante.</w:t>
      </w:r>
    </w:p>
    <w:p>
      <w:r>
        <w:rPr>
          <w:b/>
        </w:rPr>
        <w:t>E. 12</w:t>
      </w:r>
    </w:p>
    <w:p>
      <w:r>
        <w:t>Cela étant, il convient d’examiner si les arguments de l’assurée commandent de s’écarter des conclusions de ce rapport. Il s’agit en d’autres termes d’en apprécier la pertinence pour déterminer si, sur le fond, le rapport d’expertise du 24 mai 2016 peut se voir reconnaître une pleine valeur probante. a. L’assurée fait valoir que les troubles somatiques dont elle souffre ont également des répercussions sur sa capacité de travail, soit plus particulièrement le déficit vestibulaire. Ce diagnostic, ainsi que celui de probable neuronite vestibulaire, ont été posés par le Dr F______. L’expert neurologue a en effet considéré que le déficit vestibulaire était sans répercussion sur la capacité de travail. Le Dr F______ a toutefois précisé qu’il n’avait plus revu l’assurée depuis le 10 septembre 2014, et indiqué que le pronostic était bon, avec mise en place de processus centraux de compensation. Il n’apparaît dès lors pas, au vu de ces déclarations, que la conclusion de l’expert à cet égard soit dénuée de sens. b. L’assurée conteste le taux de 50% retenu pour son incapacité de travail par les experts, rappelant que les rhumatologue, psychiatre et neurologue traitants considèrent quant à eux que sa capacité de travail est nulle. Il est vrai que selon les Drs B______, C______ et E______, la capacité de travail de l’assurée est de 0%. La chambre de céans constate toutefois que le Dr B______ renvoie la question aux Drs C______ et D______ et que ce dernier la renvoie lui- même à la Dresse C______. Aussi doit-on examiner plus particulièrement le volet psychiatrique. La Dresse C______ a posé les diagnostics, avec effet sur la capacité de travail, d’épisode dépressif moyen avec syndrome somatique, polyarthrite rhumatoïde et syndrome douloureux chronique. Elle considère que l’assurée présente une incapacité de travail dans sa profession d’éducatrice de la petite enfance de 100% à compter du 21 avril 2011, précisant que la capacité de concentration et la résistance étaient limitées. L’expert psychiatre a constaté que « l’assurée était déconditionnée et que son état global lui apparaissait grave ». Il a plus particulièrement relevé « la raréfaction des relations sociales », des ressources taries, l’absence de flexibilité et de capacité</w:t>
      </w:r>
    </w:p>
    <w:p>
      <w:r>
        <w:t>A/320/2017 - 18/29 - d’adaptation et une capacité d’endurance. Il a observé que le sens du contact envers des tiers ou la capacité d’évoluer au sein d’un groupe, la relation aux proches qui caractérisent les capacités professionnelles affectives et sociales de cette assurée étaient désormais sévèrement atteintes. Il considère que l’usage des compétences professionnelles est nul. Il est ainsi d’avis, tout comme la Dresse C______, que l’assurée est incapable de travailler à 100% dans son activité d’éducatrice de la petite enfance. Pourtant, les experts ont considéré que le trouble psychique dont l’assurée souffrait, soit un épisode dépressif moyen à sévère, était responsable d’une incapacité de travail de 50% dans quelque activité que ce soit, les migraines étant responsables uniquement d’une baisse de rendement. Cette conclusion contredit celle de l’expert psychiatre, lequel après avoir décrit de sévères limitations, indique que le syndrome dépressif caractérisé d’intensité moyenne à sévère est responsable à lui seul d’une incapacité de travail à 50%. Force est de constater que le fait d’avoir précisé « à lui seul » implique que les limitations relevées s’ajoutent à ce taux de 50%. On ne comprend dès lors pas le taux de 50% finalement retenu en concilium. c. L’assurée s’étonne que l’expert psychiatre ait écarté le diagnostic de trouble somatoforme douloureux, alors que les experts, dans leurs conclusions finales, l’ont pris en considération et que les médecins-traitants, soit les Drs D______ et B______ et la Dresse C______, ont diagnostiqué un syndrome fibromyalgique. Les experts l’ont qualifié de diagnostics sans répercussion sur la capacité de travail, sans toutefois motiver cette conclusion et sans procéder à l’évaluation préconisée par la nouvelle jurisprudence. Il y a lieu d’ajouter que l’expert psychiatre a écarté le trouble somatoforme douloureux, au motif qu’il y avait un substratum somatique à type de polyarthrite rhumatoïde. On ne peut cependant exclure que l’assurée puisse souffrir, d’une part, d’une polyarthrite rhumatoïde, et, d’autre part, d’un trouble somatoforme douloureux ou fibromyalgie. Ce n’est pas parce qu’il est possible d’expliquer objectivement certaines plaintes qu’il n’en existe pas d’autres qui pourraient, elles, relever d’un trouble somatoforme douloureux. On ne comprend pas non plus pour quelle raison la polyarthrite rhumatoïde séronégative n’aurait pas de répercussion sur la capacité de travail. Aucune précision n’est apportée sur ce point-là. d. L’assurée reproche également aux experts de n’avoir pas suffisamment tenu compte de ses migraines chroniques. Les experts ont à cet égard considéré que les migraines étaient uniquement responsables d’une baisse de rendement. Ils n’évaluent toutefois pas cette baisse de rendement. Selon l’OAI, celle-ci est incluse dans les 50% d’incapacité de travail. Tel n’est toutefois pas l’avis de la chambre de céans. Selon l’expert psychiatre en effet, le syndrome dépressif est responsable à lui seul d’une incapacité de travail de 50%, ce qui implique nécessairement un taux</w:t>
      </w:r>
    </w:p>
    <w:p>
      <w:r>
        <w:t>A/320/2017 - 19/29 - d’incapacité de travail supérieur pour tenir compte des migraines. Il y a à cet égard lieu de relever que l’expert neurologue, tenant compte du fait que la migraine chronique était potentiellement invalidante en termes de rendement, a considéré que le taux d’exigibilité ne pourrait être précisé qu’en concilium, et en particulier au vu de la gravité de l’atteinte à la santé sur le plan rhumatologique, psychiatrique, et des ressources personnelles dont dispose l’assurée. e. Il résulte de ce qui précède que, pour ces motifs déjà, l’expertise du 24 mai 2016 ne saurait sur le fond se voir reconnaître valeur probante. f.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l’OAI n’a pas instruit à satisfaction de droit la situation médicale de l’assurée. Il lui appartiendra ainsi de mettre en œuvre une nouvelle expertise, plus particulièrement psychiatrique, afin de déterminer les répercussions des atteintes à la santé sur la capacité de travail et de gain de l’assurée, et, si l’existence d’un trouble somatoforme douloureux (ou fibromyalgie) devait être confirmé, évaluer s’il est invalidant selon la nouvelle jurisprudence du Tribunal fédéral.</w:t>
      </w:r>
    </w:p>
    <w:p>
      <w:r>
        <w:rPr>
          <w:b/>
        </w:rPr>
        <w:t>E. 13</w:t>
      </w:r>
    </w:p>
    <w:p>
      <w:r>
        <w:t>Reste à déterminer sur la base de quel statut le degré d’invalidité devra être déterminé. a. Il existe principalement trois méthodes pour calculer le degré d’invalidité - la méthode générale de comparaison des revenus, la méthode spécifique et la méthode mixte - dont l'application dépend du statut du bénéficiaire potentiel de la rente : assuré exerçant une activité lucrative à temps complet, assuré sans activité lucrative (non actif) ou assuré exerçant une activité lucrative à temps partiel (arrêts du Tribunal fédéral 9C_589/2014 du 6 mars 2015, consid. 3.1 ; 9C_36/2013 du 21 juin 2013, consid. 4.1). b.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w:t>
      </w:r>
    </w:p>
    <w:p>
      <w:r>
        <w:t>A/320/2017 - 20/29 - 1997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rPr>
          <w:b/>
        </w:rPr>
        <w:t>E. 15</w:t>
      </w:r>
    </w:p>
    <w:p>
      <w:r>
        <w:t>En l’espèce, considérant qu’avant l’atteinte à la santé, l’assurée travaillait à raison de 30 heures par semaine en qualité de gardienne d’enfants à domicile, l’OAI a retenu le statut d’une personne mixte (75% active – 25% ménagère). L’assurée affirme au contraire qu’elle aurait exercé une activité à plein temps si elle n’avait pas été atteinte dans sa santé.</w:t>
      </w:r>
    </w:p>
    <w:p>
      <w:r>
        <w:rPr>
          <w:b/>
        </w:rPr>
        <w:t>E. 16</w:t>
      </w:r>
    </w:p>
    <w:p>
      <w:r>
        <w:t>ans. Elle cite à cet égard deux arrêts du Tribunal fédéral (5A 277/2014 et ATF 137 III 102), aux termes desquels, «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Elles ne sont toutefois pas des règles strictes; leur application dépend des circonstances du cas concret (arrêt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5A_6/2009 du 30 avril 2009 consid. 2.2). Le juge du fait tient compte de ces lignes directrices dans l'exercice du large pouvoir d'appréciation qui est le sien (ATF 134 III 577 consid. 4) ». La chambre de céans relève cependant que dans cet arrêt, le Tribunal fédéral examine comment fixer la contribution d’entretien en faveur du conjoint au sens de l’art. 125 CC, dans le cadre d’un divorce. Les principes dégagés ne sont d’aucun secours pour la résolution du cas d’espèce et ne sont dès lors pas applicables. En effet, il paraît qu’avoir la garde d’un enfant de 15 ans n’empêche pas un assuré de travailler à plein temps s’il le souhaite. Il n’est ainsi pas établi, au degré de vraisemblance prépondérante, que l’assurée, en bonne santé, aurait exercé une activité lucrative à plein temps. b. La recourante fait également valoir que le choix de la méthode mixte est discriminatoire lorsqu'elle est appliquée à des personnes souhaitant travailler à temps partiel. Elle se réfère expressément à un arrêt DI TRIZIO rendu par la Cour Européenne des droits de l’Homme le 2 février 2016. Dans l’arrêt DI TRIZIO évoqué par l'assurée, la Cour européenne des droits de l’Homme a traité le cas d’une assurée qui s’était vu supprimer son droit à la demi- rente, son degré d’invalidité ayant été recalculé selon la méthode mixte suite à la</w:t>
      </w:r>
    </w:p>
    <w:p>
      <w:r>
        <w:t>A/320/2017 - 27/29 - naissance de ses jumeaux. La Cour européenne des droits de l’Homme a considéré que, dans de telles circonstances, l’application de la méthode mixte constituait une violation du droit au respect de la vie familiale (art. 14 combiné avec l’art. 8 CEDH), puisque c’était la naissance des enfants qui avait conduit à la perte du droit à la rente. Dans une lettre circulaire n°355, datée du 31 octobre 2016 rédigée suite à cet arrêt, l’Office fédéral des assurances sociales - OFAS - a considéré que la méthode mixte ne devait être considérée comme discriminatoire que dans des circonstances similaires à celles du cas DI TRIZIO. Dans de telles situations, l’arrêt de la Cour européenne des droits de l’Homme a pour conséquence que le statut reconnu à un assuré doit être préservé et que la méthode mixte ne doit plus être appliquée au nom du respect de la vie familiale. Pour cela, deux conditions cumulatives doivent être réunies : - la révision de la rente ou le premier octroi de rente est couplé avec une réduction ou une limitation dans le temps de la rente, et - la réduction du temps de travail est justifiée pour des raisons familiales (obligations de garde d'enfants mineurs). Le Tribunal fédéral a fait sienne cette position (cf. arrêt 9F_8/2016 du 20 décembre 2016 ; cf. également ATAS/1093/2016 et ATAS/174/2017). On notera encore qu’à la suite de l’arrêt DI TRIZIO, le Conseil fédéral a entrepris une modification du règlement sur l’assurance-invalidité (RAI - RS 831.201), dont l’entrée en vigueur est prévue le 1er janvier 2018. Cette modification consiste en un nouveau mode de calcul pour déterminer le taux d’invalidité des personnes exerçant une activité lucrative à temps partiel, évaluant séparément les conséquences d’une atteinte à la santé sur l’activité lucrative, d’une part, et sur les tâches ménagères et familiales, d’autre part. Ce nouveau mode de calcul est censé renforcer les moyens de concilier vie familiale et vie professionnelle. Le cas de l’assurée diffère de celui de l'arrêt puisqu’on ne se trouve pas dans l’hypothèse d’une réduction de rente ou d’un octroi de rente limité dans le temps. On ne saurait retenir que la réduction du temps de travail à 75% - pour autant qu’elle ait effectivement réduit son temps de travail à partir de novembre 2010, ce qui paraît douteux vu les raisons expliquées ci-dessus - ait été opérée pour des raisons familiales, sa fille étant à ce moment-là âgée de 15 ans. On n’est ainsi pas en présence d’un changement de statut qui aurait été justifié par la venue au monde d’enfants. Partant, c’est en vain que l’assurée se prévaut de l’arrêt de la Cour européenne des droits de l’Homme. c. Le statut mixte tel que retenu par l’OAI doit, au vu de ce qui précède, être confirmé.</w:t>
      </w:r>
    </w:p>
    <w:p>
      <w:r>
        <w:t>A/320/2017 - 28/29 -</w:t>
      </w:r>
    </w:p>
    <w:p>
      <w:r>
        <w:rPr>
          <w:b/>
        </w:rPr>
        <w:t>E. 17</w:t>
      </w:r>
    </w:p>
    <w:p>
      <w:r>
        <w:t>S’agissant de l’évaluation des empêchements à accomplir les tâches ménagères, l’OAI a retenu un taux de 10%. Il a considéré que, compte tenu du fait que, selon l’expertise, l’assurée était aidée par sa fille dans l’accomplissement des tâches ménagères, vu sa capacité de travail de 50% dans toute activité et vu ses limitations fonctionnelles, ses empêchements étaient au maximum de 10% dans la sphère ménagère, ce qui donne un taux de 2,5% pour les empêchements dans les travaux habituels auxquels elle se consacre à hauteur de 25%. Il a renoncé à effectuer une enquête économique sur le ménage. Force est de constater que l'instruction menée par l'OAI est lacunaire. Dans la mesure où le statut mixte a été retenu, il y avait lieu d'examiner, compte tenu des circonstances concrètes du cas particulier, s'il existait des empêchements dans la tenue du ménage méritant d'être pris en considération, et ce au moyen d'une enquête sur place effectuée par une personne qualifiée et ayant connaissance de la situation locale et spatiale. L'OAI ne pouvait effectuer un examen général et abstrait de la situation de l’assurée. La chambre de céans ayant par ailleurs considéré que l’expertise sur laquelle s’était fondé l’OAI pour rendre la décision litigieuse n’avait pas valeur probante, de sorte qu’une nouvelle expertise psychiatrique se justifiait, il y a pour ce motif également lieu de renvoyer la cause à l’OAI pour nouvelle détermination sur la question de l’évaluation des empêchements rencontrés dans le ménage également, étant rappelé qu’en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w:t>
      </w:r>
    </w:p>
    <w:p>
      <w:r>
        <w:rPr>
          <w:b/>
        </w:rPr>
        <w:t>E. 18</w:t>
      </w:r>
    </w:p>
    <w:p>
      <w:r>
        <w:t>Aussi le recours est-il partiellement admis, en ce sens que la décision du 12 décembre 2016 est confirmée s’agissant du statut mixte de l’assurée, mais annulée pour le reste. La cause est renvoyée à l’OAI pour nouvelle instruction sous forme d’une expertise psychiatrique et nouvelle décision.</w:t>
      </w:r>
    </w:p>
    <w:p>
      <w:r>
        <w:t>A/320/2017 - 29/29 -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