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ATAS/1172/2019 vom 17. Dezember 2019</w:t>
      </w:r>
    </w:p>
    <w:p>
      <w:r>
        <w:t>GE Cour de justice, 2019-12-17, FR</w:t>
      </w:r>
    </w:p>
    <w:p>
      <w:r>
        <w:rPr>
          <w:b/>
        </w:rPr>
        <w:t xml:space="preserve">Quelle: </w:t>
      </w:r>
      <w:r>
        <w:t>https://mcp.opencaselaw.ch/entscheid/ge_gerichte_ATAS_1172_2019</w:t>
      </w:r>
    </w:p>
    <w:p>
      <w:r>
        <w:t>FR: GE_GERICHTE ATAS/1172/2019 du 17 décembre 2019</w:t>
      </w:r>
    </w:p>
    <w:p>
      <w:r>
        <w:t>IT: GE_GERICHTE ATAS/1172/2019 del 17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prescrits par la loi, le présent recours est recevable (art. 56 à 61 LPGA).</w:t>
      </w:r>
    </w:p>
    <w:p>
      <w:r>
        <w:rPr>
          <w:b/>
        </w:rPr>
        <w:t>E. 3</w:t>
      </w:r>
    </w:p>
    <w:p>
      <w:r>
        <w:t>L'objet du litige porte sur le droit du recourant à des prestations d’invalidité.</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w:t>
      </w:r>
    </w:p>
    <w:p>
      <w:r>
        <w:t>A/3279/2018 - 8/13 -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Lors de l'examen initial du droit à la rente, il convient d'examiner quelle est la méthode d'évaluation de l'invalidité qu'il s'agit d'appliquer. Le choix de l'une des trois méthodes reconnues, soit la méthode générale de comparaison des revenus (art. 28a al. 1 LAI en corrélation avec l'art. 16 LPGA), la méthode spécifique (art. 28a al. 2 LAI en corrélation avec les art. 27 du règlement sur l’assurance- invalidité [RAI – RS 831.201] et 8 al. 3 LPGA), ou la méthode mixte (art. 28a al. 3 LAI en corrélation avec l'art. 27bis RAI,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 (arrêt du Tribunal fédéral 9C_82/2016 du 9 juin 2016 consid. 3.2).</w:t>
      </w:r>
    </w:p>
    <w:p>
      <w:r>
        <w:t>A/3279/2018 - 9/13 -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rappellera encore que le choix de la méthode d'évaluation de l'invalidité est une question de droit. En revanche, la constatation du statut (comme personne sans invalidité), c'est-à-dire le point de savoir si et dans quelle mesure l'assuré aurait exercé une activité lucrative, relève d'une question de fait (arrêt du Tribunal fédéral 9C_432/2016 du 10 février 2017 consid. 2.2 et les références).</w:t>
      </w:r>
    </w:p>
    <w:p>
      <w:r>
        <w:rPr>
          <w:b/>
        </w:rPr>
        <w:t>E. 8</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t>A/3279/2018 - 10/13 - L’art. 59 al. 2bis LAI dispose que les services médicaux régionaux sont à la disposition des offices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Selon l’art. 49 al. 1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Selon la jurisprudence, les avis du SMR au sens de ces dispositions, lesquels ne contiennent aucune observation clinique faute d’un examen de l’assuré, se distinguent des expertises ou des examens médicaux auxquels le SMR peut également procéder. Ils ont seulement pour fonction d’opérer la synthèse des renseignements médicaux recueillis, de prendre position à leur sujet et de prodiguer des recommandations quant à la suite à donner au dossier sur le plan médical (arrêt du Tribunal fédéral 9C_10/2017 du 27 mars 2017 consid. 5.1). Ces rapports ne sont certes pas dénués de toute valeur probante et il est admissible que l’OAI ou le juge se fonde de manière déterminante sur leur contenu (arrêt du Tribunal fédéral 9C_371/2018 du 16 août 2018 consid. 4.3.1). Il convient toutefois de poser des exigences strictes en matière d’appréciation des preuves. Des investigations supplémentaires devront être ordonnées si des doutes, même faibles, subsistent quant à la fiabilité ou à la pertinence des constatations effectuées par le SMR (ATF 142 V 58 consid. 5.1 et les références).</w:t>
      </w:r>
    </w:p>
    <w:p>
      <w:r>
        <w:rPr>
          <w:b/>
        </w:rPr>
        <w:t>E. 9</w:t>
      </w:r>
    </w:p>
    <w:p>
      <w:r>
        <w:t>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w:t>
      </w:r>
    </w:p>
    <w:p>
      <w:r>
        <w:t>A/3279/2018 - 11/13 -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w:t>
      </w:r>
    </w:p>
    <w:p>
      <w:r>
        <w:rPr>
          <w:b/>
        </w:rPr>
        <w:t>E. 10</w:t>
      </w:r>
    </w:p>
    <w:p>
      <w:r>
        <w:t>En l’espèce, il convient en premier lieu de revenir sur le statut du recourant. Ce dernier a exposé à l’enquêtrice que ce n’était qu’en raison de recherches infructueuses d’un emploi à plein temps qu’il avait dû se rabattre sur plusieurs activités à temps partiel. Il n’existe aucun élément au dossier justifiant que l’on remette en doute ces déclarations, et il est plus que vraisemblable au vu de sa situation financière et familiale que la limitation de son taux d’activité ne résulte pas d’un choix opéré par convenance personnelle, mais de circonstances liées au marché du travail. C’est donc à tort que l’intimé a fondé son calcul du degré d’invalidité sur la méthode mixte, et il faut reconnaître un statut d’actif au recourant. Par ailleurs, s’agissant de l’exigibilité médico-théorique d’une activité lucrative exercée à plein temps, force est de constater qu’elle n’a pas été établie à satisfaction de droit. On peut certes retenir, notamment au vu du rapport de la Dresse D_____ du 31 décembre 2015, que l’état de santé du recourant est désormais compatible avec une telle activité du point de vue somatique. Tel n’est cependant pas le cas au plan psychique. Les prises de position du SMR sur ce point ne sont en particulier pas suffisantes. En effet, l’avis du 15 août 2018 des Dresses H_____ et E_____ se fonde sur des informations erronées, le Dr G_____ ayant confirmé dans son courrier du 8 juillet 2019 qu’une activité n’était selon lui pas possible, à tout le moins à temps complet, en raison des atteintes psychiques du recourant. L’appréciation de ce psychiatre ne peut en outre pas être écartée sur la base de l’avis de la Dresse I_____. En effet, les lacunes que le SMR voit dans les rapports du Dr G_____ ne suffisent pas à exclure le diagnostic posé par ce dernier, ni son éventuelle incidence sur sa capacité de travail. C’est le lieu de rappeler ici qu’il incombe à l’assureur d’instruire d’office la demande en vertu de l’art. 43 LPGA. Si le SMR considérait les renseignements fournis par le Dr G_____ insuffisants, il lui appartenait précisément de proposer des investigations supplémentaires, comme cela ressort de la jurisprudence développée ci-dessus, mais il ne pouvait en aucun cas se contenter – en l’absence d’un autre rapport médical analysant de manière probante l’incidence de troubles psychiques – de conclure à une pleine capacité de travail. Par ailleurs, l’affirmation par la Dresse I_____ qu’une aggravation serait postérieure à la décision attaquée est infondée : le Dr G_____ rapportait en effet en avril 2018 déjà, soit avant la décision dont est recours, que la capacité de travail était nulle dans l’activité habituelle et qu’elle était limitée dans une activité adaptée.</w:t>
      </w:r>
    </w:p>
    <w:p>
      <w:r>
        <w:t>A/3279/2018 - 12/13 - La mention par ce psychiatre d’une aggravation progressive remontant à septembre 2018 dans son courrier du 8 juillet 2019 résulte ainsi d’une coquille. Compte tenu de ce qui précède, la chambre de céans ne dispose pas d’éléments suffisants pour statuer sur le droit aux prestations du recourant. Lorsque le juge constate qu'une expertise est nécessaire, il doit en principe la mettre en œuvre lui-même. Un renvoi à l'administration reste cependant possible lorsqu'il est justifié par l'examen d'un point qui n'a pas du tout été investigué (ATF 137 V 210 consid. 4.4.1.3 et 4.4.1.4). Tel est le cas en l'espèce, puisque l'intimé n'a pas procédé à une instruction dans les règles de l’art. Il lui appartiendra ainsi de compléter l’instruction diligentant une expertise psychiatrique dans le respect des exigences jurisprudentielles en matière de droit d’être entendu (ATF 137 V 210 consid. 3.2.4.6 et 3.2.4.9), puis de rendre une nouvelle décision sur la base des conclusions de dite expertise, après avoir procédé à un nouveau calcul d’invalidité selon la méthode ordinaire de comparaison des revenus. Eu égard à l’issue du litige, la chambre de céans renoncera à l’audition des médecins traitants du recourant, par appréciation anticipée des preuves (ATF 130 II 425 consid. 2.1).</w:t>
      </w:r>
    </w:p>
    <w:p>
      <w:r>
        <w:rPr>
          <w:b/>
        </w:rPr>
        <w:t>E. 11</w:t>
      </w:r>
    </w:p>
    <w:p>
      <w:r>
        <w:t>Le recours est partiellement admis. Le recourant, représenté au début de la procédure, a droit à des dépens qui seront fixés à CHF 800.- (art. 61 let. g LPGA). L’intimé supporte l’émolument de procédure, qui sera fixé à CHF 200.- (art. 69 al. 1bis LAI).</w:t>
      </w:r>
    </w:p>
    <w:p>
      <w:r>
        <w:t>PAR CES MOTIFS, LA CHAMBRE DES ASSURANCES SOCIALES : Statuant</w:t>
      </w:r>
    </w:p>
    <w:p>
      <w:r>
        <w:t>A/3279/2018 - 13/13 -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