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ATAS/1171/2020 vom 2. Dezember 2020</w:t>
      </w:r>
    </w:p>
    <w:p>
      <w:r>
        <w:t>GE Cour de justice, 2020-12-02, FR</w:t>
      </w:r>
    </w:p>
    <w:p>
      <w:r>
        <w:rPr>
          <w:b/>
        </w:rPr>
        <w:t xml:space="preserve">Quelle: </w:t>
      </w:r>
      <w:r>
        <w:t>https://mcp.opencaselaw.ch/entscheid/ge_gerichte_ATAS_1171_2020</w:t>
      </w:r>
    </w:p>
    <w:p>
      <w:r>
        <w:t>FR: GE_GERICHTE ATAS/1171/2020 du 2 décembre 2020</w:t>
      </w:r>
    </w:p>
    <w:p>
      <w:r>
        <w:t>IT: GE_GERICHTE ATAS/1171/2020 del 2 dicembre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délai de recours est de trente jours (art. 56 LPGA ; art. 62 al. 1 de la de loi sur la procédure administrative du 12 septembre 1985 [LPA - E 5 10]). Interjeté dans la forme et le délai prévus par la loi, le recours est recevable (art. 56 ss LPGA et 62 ss LPA).</w:t>
      </w:r>
    </w:p>
    <w:p>
      <w:r>
        <w:rPr>
          <w:b/>
        </w:rPr>
        <w:t>E. 4</w:t>
      </w:r>
    </w:p>
    <w:p>
      <w:r>
        <w:t>Le litige porte sur le droit de la recourante à une rente d’invalidité.</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ATF 130 V 343 consid. 3.4). La détermination du taux d'invalidité ne saurait reposer sur la simple évaluation médico-théorique de la capacité de travail de l'assuré car cela revient à</w:t>
      </w:r>
    </w:p>
    <w:p>
      <w:r>
        <w:t>A/2234/2019 - 14/24 - déduire de manière abstraite le degré d'invalidité de l'incapacité de travail, sans tenir compte de l'incidence économique de l'atteinte à la santé (ATF 114 V 281 consid. 1c et 310 consid. 3c ; RAMA 1996 n° U 237 p. 36 consid. 3b).</w:t>
      </w:r>
    </w:p>
    <w:p>
      <w:r>
        <w:rPr>
          <w:b/>
        </w:rPr>
        <w:t>E. 7</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b. En 2017,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(ATF 143 V 409 consid. 4.5 et ATF 143 V 418 consid. 6 et 7).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c.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à l’aide des indicateurs suivants : c.a. Le point de départ est le degré de gravité minimal inhérent au diagnostic. Il doit être rendu vraisemblable compte tenu de l’étiologie et de la pathogenèse de la pathologie déterminante pour le diagnostic. Les constatations relatives aux</w:t>
      </w:r>
    </w:p>
    <w:p>
      <w:r>
        <w:t>A/2234/2019 - 15/24 - manifestations concrètes de l’atteinte à la santé diagnostiquée permettent de distinguer les limitations fonctionnelles causées par cette atteinte de celles dues à des facteurs non assurés. c.b.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c.c.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 n’est pas une comorbidité, mais doit à la rigueur être pris en considération dans le cadre du diagnostic de la personnalité. c.d.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c.e. Si des difficultés sociales ont directement des conséquences fonctionnelles négatives, elles ne doivent pas être prises en considération. En revanche, le contexte de vie de l’assuré peut lui procurer des ressources mobilisables, par exemple par le biais de son réseau social. Il faut s’assurer qu’une incapacité de travail pour des raisons de santé ne se confond pas avec le chômage non assuré ou avec d’autres difficultés de vie. c.f.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w:t>
      </w:r>
    </w:p>
    <w:p>
      <w:r>
        <w:t>A/2234/2019 - 16/24 - c.g. Il faut examiner ensuite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d. Le juge vérifie librement si l’expert médical a exclusivement tenu compte des déficits fonctionnels résultant de l’atteinte à la santé et si son évaluation de l’exigibilité repose sur une base objective.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difficultés décrites et le comportement observé, l'allégation d'intenses difficultés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ATF 131 V 49 consid. 1.2).</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w:t>
      </w:r>
    </w:p>
    <w:p>
      <w:r>
        <w:t>A/2234/2019 - 17/24 -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w:t>
      </w:r>
    </w:p>
    <w:p>
      <w:r>
        <w:t>A/2234/2019 - 18/24 -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w:t>
      </w:r>
    </w:p>
    <w:p>
      <w:r>
        <w:t>A/2234/2019 - 19/24 -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11</w:t>
      </w:r>
    </w:p>
    <w:p>
      <w:r>
        <w:t>En l’espèce, la recourante conteste la valeur probante de l’expertise du Dr F______. Il convient d’examiner en premier lieu cette question. Il faut d’emblée relever que la conclusion de l’expert sur la capacité de travail résiduelle de la recourante n’a pas été reprise telle quelle par le SMR. En effet, l’expert a conclu que la capacité de travail de la recourante était de 80% dans un milieu peu exigeant sur le plan des ressources attentionnelles et des capacités de programmation avec une diminution de rendement qui se situait à 80 %, dès 2015. Or, dans son avis du 18 juin 2018, le SMR a retenu qu’il existait une activité adaptée possible à 80%, avec diminution de rendement de 20 % en raison des limitations fonctionnelles. Le SMR a ainsi probablement à juste titre corrigé une erreur de l’expert, mais il subsiste toutefois un doute à cet égard, qui n’a pas été clarifié, à teneur du dossier, ce qui porte atteinte à la valeur probante de l’expertise. De plus, comme l’a relevé la recourante, l’expert a indiqué en page 16 de son rapport qu’une réadaptation était clairement exigible et qu’un travail peu exposé à des demandes sur le plan attentionnel et de programmation « pouvait être tenté » à un taux de 80 % maximum. Cette formulation laisse penser que l’expert avait un doute sur la réelle capacité de la recourante à assumer un 80 %. Ce doute est renforcé par les appréciations des médecins traitants de la recourante, le Dr B______, le 27 juin 2016 et la Dresse C______, le 28 novembre 2016, lesquels ont évalué sa capacité de travail à 50%, ce qui a été également confirmé par le Dr D______, médecin-conseil de l’Hospice général, le 8 mai 2015. Le fait que le Dr F______ n’ait pas commenté les avis contraires aux siens des médecins traitants de la recourante porte également atteinte à la valeur probante de son expertise. Le Dr H______ a fait procéder à un nouvel examen neuropsychologique à une année de l’expertise dont il ressort que la recourante présente des difficultés cognitives sévères, un ralentissement psychomoteur et une fatigabilité importante,</w:t>
      </w:r>
    </w:p>
    <w:p>
      <w:r>
        <w:t>A/2234/2019 - 20/24 - compatibles avec l’AVC. Au vu de ces résultats, ce médecin a estimé que l’exercice d’une quelconque activité professionnelle par la recourante était très compromis. De plus, à la question relative à la coopération de l’assurée et si ses efforts de réadaptation avaient été couronnés de succès, l’expert a indiqué qu’elle avait interrompu rapidement sa tentative de réinsertion entreprise en 2011, à cause de ses douleurs diffuses, mais aussi parce qu’elle était peu intéressée par une telle perspective, qui ne correspondait pas à ses aspirations passées. On s’étonne que l’expert n’ait pas mentionné, dans ce cadre, que lors du stage suivi chez PRO, du 8 septembre au 3 octobre 2014, il avait été observé que malgré ses soucis de santé, la recourante avait montré de l’engagement pour chacune des tâches ou activités et qu’elle avait fait de réels effort pour pallier ses soucis de mémoire et d’attention. En effet, la recourante a ainsi démontré une certaine motivation à une réinsertion, contrairement à ce que l’expert a retenu.</w:t>
      </w:r>
    </w:p>
    <w:p>
      <w:r>
        <w:rPr>
          <w:b/>
        </w:rPr>
        <w:t>E. 12</w:t>
      </w:r>
    </w:p>
    <w:p>
      <w:r>
        <w:t>Pour le cas où il y aurait refus ou mauvaise acceptation d’une thérapie recommandée et accessible : cette attitude doit-elle être attribuée à une incapacité de l’assurée à reconnaître sa maladie ?</w:t>
      </w:r>
    </w:p>
    <w:p>
      <w:r>
        <w:rPr>
          <w:b/>
        </w:rPr>
        <w:t>E. 13</w:t>
      </w:r>
    </w:p>
    <w:p>
      <w:r>
        <w:t>Dans l’ensemble, le comportement de l’expertisée vous semble-t-il cohérent ? Pourquoi ?</w:t>
      </w:r>
    </w:p>
    <w:p>
      <w:r>
        <w:rPr>
          <w:b/>
        </w:rPr>
        <w:t>E. 14</w:t>
      </w:r>
    </w:p>
    <w:p>
      <w:r>
        <w:t>Les plaintes sont-elles objectivées ?</w:t>
      </w:r>
    </w:p>
    <w:p>
      <w:r>
        <w:rPr>
          <w:b/>
        </w:rPr>
        <w:t>E. 15</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l’assurée).</w:t>
      </w:r>
    </w:p>
    <w:p>
      <w:r>
        <w:rPr>
          <w:b/>
        </w:rPr>
        <w:t>E. 16</w:t>
      </w:r>
    </w:p>
    <w:p>
      <w:r>
        <w:t>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rPr>
          <w:b/>
        </w:rPr>
        <w:t>E. 17</w:t>
      </w:r>
    </w:p>
    <w:p>
      <w:r>
        <w:t>Dans l’affirmative, considérez-vous que cela suffise à exclure une atteinte à la santé significative ?</w:t>
      </w:r>
    </w:p>
    <w:p>
      <w:r>
        <w:rPr>
          <w:b/>
        </w:rPr>
        <w:t>E. 18</w:t>
      </w:r>
    </w:p>
    <w:p>
      <w:r>
        <w:t>Quels ont été les traitements entrepris et avec quel succès (évolution et résultats des thérapies) ?</w:t>
      </w:r>
    </w:p>
    <w:p>
      <w:r>
        <w:rPr>
          <w:b/>
        </w:rPr>
        <w:t>E. 19</w:t>
      </w:r>
    </w:p>
    <w:p>
      <w:r>
        <w:t>L’assurée a-t-elle fait preuve de résistance à l’égard des traitements proposés ? La compliance est-elle bonne ?</w:t>
      </w:r>
    </w:p>
    <w:p>
      <w:r>
        <w:rPr>
          <w:b/>
        </w:rPr>
        <w:t>E. 20</w:t>
      </w:r>
    </w:p>
    <w:p>
      <w:r>
        <w:t>Vérifier la compliance médicamenteuse par un dosage sanguin.</w:t>
      </w:r>
    </w:p>
    <w:p>
      <w:r>
        <w:rPr>
          <w:b/>
        </w:rPr>
        <w:t>E. 21</w:t>
      </w:r>
    </w:p>
    <w:p>
      <w:r>
        <w:t>Quelle est l’exigibilité d’un traitement psychothérapeutique et d’un traitement psychotrope ?</w:t>
      </w:r>
    </w:p>
    <w:p>
      <w:r>
        <w:rPr>
          <w:b/>
        </w:rPr>
        <w:t>E. 22</w:t>
      </w:r>
    </w:p>
    <w:p>
      <w:r>
        <w:t>L’assurée présente-t-elle une dépendance à une ou des substances psychoactives ? Si l’expert l’estime nécessaire, effectuer un dosage sanguin/urinaire de substances psychoactives. En cas de réponse positive, quelle est l’exigibilité de sevrage de/des substances psychoactives ?</w:t>
      </w:r>
    </w:p>
    <w:p>
      <w:r>
        <w:t>A/2234/2019 - 23/24 -</w:t>
      </w:r>
    </w:p>
    <w:p>
      <w:r>
        <w:rPr>
          <w:b/>
        </w:rPr>
        <w:t>E. 23</w:t>
      </w:r>
    </w:p>
    <w:p>
      <w:r>
        <w:t>Dans quelle mesure les traitements ont-ils été mis à profit ou négligés ?</w:t>
      </w:r>
    </w:p>
    <w:p>
      <w:r>
        <w:rPr>
          <w:b/>
        </w:rPr>
        <w:t>E. 24</w:t>
      </w:r>
    </w:p>
    <w:p>
      <w:r>
        <w:t>Les limitations du niveau d’activité sont-elles uniformes dans tous les domaines (professionnel mais aussi personnel) ? Quel est le niveau d’activité sociale et comment a-t-il évolué depuis la survenance de l’atteinte à la santé ?</w:t>
      </w:r>
    </w:p>
    <w:p>
      <w:r>
        <w:rPr>
          <w:b/>
        </w:rPr>
        <w:t>E. 25</w:t>
      </w:r>
    </w:p>
    <w:p>
      <w:r>
        <w:t>Mentionner, pour chaque diagnostic posé, les limitations fonctionnelles qu’il entraîne a) dans l’activité habituelle, b) dans une activité adaptée.</w:t>
      </w:r>
    </w:p>
    <w:p>
      <w:r>
        <w:rPr>
          <w:b/>
        </w:rPr>
        <w:t>E. 26</w:t>
      </w:r>
    </w:p>
    <w:p>
      <w:r>
        <w:t>Mentionner globalement les conséquences des divers diagnostics retenus sur la capacité de travail de l’assurée, en pourcent, a) dans l’activité habituelle, b) dans une activité adaptée.</w:t>
      </w:r>
    </w:p>
    <w:p>
      <w:r>
        <w:rPr>
          <w:b/>
        </w:rPr>
        <w:t>E. 27</w:t>
      </w:r>
    </w:p>
    <w:p>
      <w:r>
        <w:t>Dater la survenance de l’incapacité de travail durable, le cas échéant, indiquer l'évolution de son taux.</w:t>
      </w:r>
    </w:p>
    <w:p>
      <w:r>
        <w:rPr>
          <w:b/>
        </w:rPr>
        <w:t>E. 28</w:t>
      </w:r>
    </w:p>
    <w:p>
      <w:r>
        <w:t>Évaluer l'exigibilité, en pourcent, d'une activité lucrative adaptée, indiquer depuis quand une telle activité est exigible et quel est le domaine d'activité adapté.</w:t>
      </w:r>
    </w:p>
    <w:p>
      <w:r>
        <w:rPr>
          <w:b/>
        </w:rPr>
        <w:t>E. 29</w:t>
      </w:r>
    </w:p>
    <w:p>
      <w:r>
        <w:t>Dire s'il y a une diminution de rendement et la chiffrer.</w:t>
      </w:r>
    </w:p>
    <w:p>
      <w:r>
        <w:rPr>
          <w:b/>
        </w:rPr>
        <w:t>E. 30</w:t>
      </w:r>
    </w:p>
    <w:p>
      <w:r>
        <w:t>En cas de baisse de rendement, préciser si celle-ci a été prise en compte dans la capacité de travail ou si elle vient en sus.</w:t>
      </w:r>
    </w:p>
    <w:p>
      <w:r>
        <w:rPr>
          <w:b/>
        </w:rPr>
        <w:t>E. 31</w:t>
      </w:r>
    </w:p>
    <w:p>
      <w:r>
        <w:t>Évaluer la possibilité d'améliorer la capacité de travail par des mesures médicales. Indiquer quelles seraient les propositions thérapeutiques et leur influence sur la capacité de travail.</w:t>
      </w:r>
    </w:p>
    <w:p>
      <w:r>
        <w:rPr>
          <w:b/>
        </w:rPr>
        <w:t>E. 32</w:t>
      </w:r>
    </w:p>
    <w:p>
      <w:r>
        <w:t>a) Êtes-vous d'accord avec l’appréciation du Dr B______ sur la capacité de travail de l’expertisée (rapport du 27 juin 2016) ? Indiquer pour quelles raisons cet avis est confirmé ou écarté. b) Êtes-vous d'accord avec l’appréciation de la Dresse C______, sur la capacité de travail de l’expertisée (rapport du 28 novembre 2016) ? Indiquer pour quelles raisons cet avis est confirmé ou écarté. c) Êtes-vous d'accord avec l’appréciation du Dr H______ du 13 mai 2019, sur la capacité de travail de l’expertisée ? Indiquer pour quelles raisons cet avis est confirmé ou écarté.</w:t>
      </w:r>
    </w:p>
    <w:p>
      <w:r>
        <w:rPr>
          <w:b/>
        </w:rPr>
        <w:t>E. 33</w:t>
      </w:r>
    </w:p>
    <w:p>
      <w:r>
        <w:t>Formuler un pronostic global.</w:t>
      </w:r>
    </w:p>
    <w:p>
      <w:r>
        <w:rPr>
          <w:b/>
        </w:rPr>
        <w:t>E. 34</w:t>
      </w:r>
    </w:p>
    <w:p>
      <w:r>
        <w:t>Toute remarque utile et proposition de l’expert.</w:t>
      </w:r>
    </w:p>
    <w:p>
      <w:r>
        <w:t>A/2234/2019 - 24/24 - 5. Invite l’expert à déposer dans les meilleurs délais un rapport en trois exemplaires à la chambre de céans. 6. Réserve le fond.</w:t>
      </w:r>
    </w:p>
    <w:p>
      <w:r>
        <w:t>La greffière</w:t>
      </w:r>
    </w:p>
    <w:p>
      <w:r>
        <w:t>Isabelle CASTILLO</w:t>
      </w:r>
    </w:p>
    <w:p>
      <w:r>
        <w:t>La présidente</w:t>
      </w:r>
    </w:p>
    <w:p>
      <w:r>
        <w:t>Catherine TAPPONNIER</w:t>
      </w:r>
    </w:p>
    <w:p>
      <w:r>
        <w:t>Une copie conforme de la présente ordonnance est notifiée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