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ATAS/1171/2014 vom 11. November 2014</w:t>
      </w:r>
    </w:p>
    <w:p>
      <w:r>
        <w:t>GE Cour de justice, 2014-11-11, FR</w:t>
      </w:r>
    </w:p>
    <w:p>
      <w:r>
        <w:rPr>
          <w:b/>
        </w:rPr>
        <w:t xml:space="preserve">Quelle: </w:t>
      </w:r>
      <w:r>
        <w:t>https://mcp.opencaselaw.ch/entscheid/ge_gerichte_ATAS_1171_2014</w:t>
      </w:r>
    </w:p>
    <w:p>
      <w:r>
        <w:t>FR: GE_GERICHTE ATAS/1171/2014 du 11 novembre 2014</w:t>
      </w:r>
    </w:p>
    <w:p>
      <w:r>
        <w:t>IT: GE_GERICHTE ATAS/1171/2014 del 11 novembre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A/2770/2014 ATAS/1171/2014 COUR DE JUSTICE Chambre des assurances sociales Arrêt du 11 novembre 2014 1ère Chambre</w:t>
      </w:r>
    </w:p>
    <w:p>
      <w:r>
        <w:t>En la cause Madame A______, domiciliée à VEYRIER, représentée par ASSUAS Association suisse des assurés recourante</w:t>
      </w:r>
    </w:p>
    <w:p>
      <w:r>
        <w:t>contre OFFICE DE L'ASSURANCE-INVALIDITÉ DU CANTON DE GENÈVE, sis rue des Gares 12, GENÈVE intimé</w:t>
      </w:r>
    </w:p>
    <w:p>
      <w:r>
        <w:t>A/2770/2014 - 2/4 - Attendu en fait que par décision du 6 août 2014, l’Office de l’assurance-invalidité du canton de Genève (ci-après OAI) a informé Madame A______ que sa demande de prestations AI était rejetée, au motif que son degré d’invalidité, fixé à 29%, était insuffisant ; Que l’assurée, représentée par l’ASSUAS, a interjeté recours le 15 septembre 2014 contre ladite décision ; qu’elle a produit un rapport établi par la Dresse B______ le 10 septembre 2014 ; Qu’invité à se déterminer, le médecin du Service médical régional AI (SMR) a considéré qu’« après relecture des pièces médicales émanant de l’oncologue traitant, la Dresse B______, et du Professeur C______, oncologue expert, en tenant compte des séquelles susnommées qui impliquent des limitations fonctionnelles, nous devons reconnaître le fait que la capacité de travail de l’assurée ne dépasse pas 50% dans toute activité. Bien qu’elle a travaillé au-dessus de ce taux, nous estimons qu’on ne peut pas exiger d’elle plus de quatre heures par jour depuis sa reprise » ; Que par courrier du 16 octobre 2014, l’OAI, se fondant sur l’avis du SMR, a conclu à l’admission partielle du recours et à l’octroi d’une demi-rente d’invalidité (taux d’invalidité de 50%) dès mai 2012 ; Que le 31 octobre 2014, l’assurée a indiqué qu’elle avait obtenu satisfaction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16 octobre 2014, l'OAI se fondant sur l’avis du SMR, a conclu à l’admission partielle du recours et à l’octroi d’une demi-rente d’invalidité (taux d’invalidité de 50%) dès mai 2012 ; Qu'il se justifie dès lors d'admettre partiellement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w:t>
      </w:r>
    </w:p>
    <w:p>
      <w:r>
        <w:t>A/2770/2014 - 3/4 - Que tel est le cas en l’espèce, dès lors que l'assurée a obtenu satisfaction ; Qu'en l'espèce, les dépens seront fixés à CHF 800.- ;</w:t>
      </w:r>
    </w:p>
    <w:p>
      <w:r>
        <w:t>A/2770/2014 - 4/4 - PAR CES MOTIFS, LA CHAMBRE DES ASSURANCES SOCIALES : Statuant A la forme : 1. Déclare le recours recevable. Au fond : 2. L'admet partiellement, en ce sens que l’assurée a droit à une demi-rente d’invalidité à compter de mai 2012. 3. Annule la décision du 6 août 2014. 4. Condamne l’intimé à verser à la recourante la somme de CHF 800.-,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