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ATAS/1171/2013 vom 26. November 2013</w:t>
      </w:r>
    </w:p>
    <w:p>
      <w:r>
        <w:t>GE Cour de justice, 2013-11-26, FR</w:t>
      </w:r>
    </w:p>
    <w:p>
      <w:r>
        <w:rPr>
          <w:b/>
        </w:rPr>
        <w:t xml:space="preserve">Quelle: </w:t>
      </w:r>
      <w:r>
        <w:t>https://mcp.opencaselaw.ch/entscheid/ge_gerichte_ATAS_1171_2013</w:t>
      </w:r>
    </w:p>
    <w:p>
      <w:r>
        <w:t>FR: GE_GERICHTE ATAS/1171/2013 du 26 novembre 2013</w:t>
      </w:r>
    </w:p>
    <w:p>
      <w:r>
        <w:t>IT: GE_GERICHTE ATAS/1171/2013 del 26 novembre 2013</w:t>
      </w:r>
    </w:p>
    <w:p>
      <w:pPr>
        <w:pStyle w:val="Heading2"/>
      </w:pPr>
      <w:r>
        <w:t>Regeste</w:t>
      </w:r>
    </w:p>
    <w:p>
      <w:r>
        <w:t>Résumé: Lors de la mise en oeuvre d'une expertise au sens de l'art. 44 LPGA, l'assureur est tenu de notifier le projet de mission d'expertise ainsi que les noms des experts au mandataire constitué avec élection de domicile. Ne l'ayant point fait, l'assureur a violé le droit d'être entendu de la recourante. En l'espèce, la violation du droit d'être entendu ne peut être réparée, car l'expertise litigieuse est l'élément central et prépondérant de l'instruction dans la mesure où il s'agit du seul rapport au dossier qui se prononce sur le lien de causalité entre les troubles actuels et l'accident (cf. ATF120 V 357consid. 2b). Il convient d'admettre que la notification irrégulière n'a pas atteint son but lorsque, comme en l'espèce, l'assurée n'a pas informé son mandataire, sans que l'on puisse lui reprocher un manquement à son devoir de diligence. En invoquant le vice de forme huit jours après la réception de l'expertise, soit dès qu'il a eu connaissance de celle-ci, le mandataire a agi dans un délai raisonnable en respectant le principe de la bonne foi. En l'occurrence, étant donné que le conseil de la recourante n'a pas pu participer à la mise en oeuvre de l'expertise, notamment en exerçant son droit de se prononcer sur le choix des experts en vue de leur désignation consensuelle, de prendre connaissance des questions posées aux experts et d'en formuler d'autres avant l'exécution de l'expertise, la mise en oeuvre de l'expertise doit être reprise « ab initio » afin que les experts soient choisis après discussions entre les parties, comme le mandataire l'a demandé tout au long de la procédure.</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 délai et les forme prévus par la loi, le recours est recevable (art. 56 et 6o LPGA ; art 89B de la loi sur la procédure administrative du 12 septembre 1985 – LPA ; E 5 10). La Chambre de céans doit se prononcer préalablement sur la demande de restitution de l’effet suspensif.</w:t>
      </w:r>
    </w:p>
    <w:p>
      <w:r>
        <w:rPr>
          <w:b/>
        </w:rPr>
        <w:t>E. 3</w:t>
      </w:r>
    </w:p>
    <w:p>
      <w:r>
        <w:t>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au surplus, l'art. 55 al. 2 à 4 PA est applicable.</w:t>
      </w:r>
    </w:p>
    <w:p>
      <w:r>
        <w:t>A/3597/2013 - 6/8 - b) Selon l'art. 11 al. 2 de l’ordonnance du 11 septembre 2002 sur la partie générale du droit des assurances sociales (OPGA – RS 830.11),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w:t>
      </w:r>
    </w:p>
    <w:p>
      <w:r>
        <w:rPr>
          <w:b/>
        </w:rPr>
        <w:t>E. 4</w:t>
      </w:r>
    </w:p>
    <w:p>
      <w:r>
        <w:t>En l’espèce, la recourante invoque une violation du droit d’être entendu commise par l’intimé, si grave qu’elle doit entraîner la nullité pure et simple de l’expertise du 28 mars 2013. Elle considère par conséquent, dès lors que cette expertise constitue la seule base pour la décision de l’intimé de mettre fin à ses prestations, que sa position n’est pas vouée à l’échec de manière à empêcher la restitution de l’effet suspensif, même si les prestations de l’intimé représentaient une part considérable, voire prépondérante, de son revenu. Selon l’intimé, la validité de l’expertise ne saurait être remise en cause par une prétendue violation du droit d’être entendu, alors même que l’assurée a pu faire valoir toutes ses remarques et objections dans son écriture du 17 mai 2013. L’intimé relève que la recourante a été en mesure d’informer le Dr O__________ de l’expertise programmée, de sorte qu’il ne voit pas pourquoi elle n’aurait pas été en mesure d’en informer son mandataire. Par ailleurs, elle maîtrise le français, puisqu’elle n’a pas eu la nécessité d’être assistée par un interprète lors de l’expertise et qu’aucun des experts n’a mis en évidence des difficultés de l’assurée avec la langue française. Enfin, les prestations d’assurance constituant la seule</w:t>
      </w:r>
    </w:p>
    <w:p>
      <w:r>
        <w:t>A/3597/2013 - 7/8 - source de revenu de la recourante, l’intérêt de l’administration à éviter une procédure de restitution dont l’issue est d’emblée compromise l’emporte sur le sien. La Chambre de céans relève en premier lieu que le grief de la violation des droits de participation de la recourante à la procédure d’instruction et, le cas échéant, de ses conséquences sur le plan juridique, ne doit pas être tranché dans le cadre de la requête en restitution de l’effet suspensif, mais dans la procédure au fond. L’intimé a en effet retiré l’effet suspensif au recours afin que sa décision de suppression du droit aux prestations avec effet au 31 août 2013 soit immédiatement exécutable. Par conséquent, c’est uniquement sous cet angle que la Chambre de céans examine la requête de la recourante. Or, à cet égard, force est de constater qu’à ce stade de la procédure, l’on ne peut conclure que la recourante obtiendra sans nul doute gain de cause. Partant, ses chances de succès quant à l’issue du litige au fond ne sont pas telles qu’elles doivent justifier la restitution de l’effet suspensif. De surcroît, la recourante admet se trouver dans une situation précaire, les prestations d’assurance constituant sa seule source de revenus. Ainsi, dans l’hypothèse où elle n’obtiendrait pas gain de cause, elle devrait alors restituer les prestations indûment versées, avec le risque pour l’intimé ne pas pouvoir recouvrer sa créance.</w:t>
      </w:r>
    </w:p>
    <w:p>
      <w:r>
        <w:rPr>
          <w:b/>
        </w:rPr>
        <w:t>E. 5</w:t>
      </w:r>
    </w:p>
    <w:p>
      <w:r>
        <w:t>Au vu de ce qui précède, la demande de restitution de l’effet suspensif est rejetée.</w:t>
      </w:r>
    </w:p>
    <w:p>
      <w:r>
        <w:rPr>
          <w:b/>
        </w:rPr>
        <w:t>E. 6</w:t>
      </w:r>
    </w:p>
    <w:p>
      <w:r>
        <w:t>Pour le surplus, la procédure est gratuite (art. 61 let. g LPGA ; art. 89H LPA).</w:t>
      </w:r>
    </w:p>
    <w:p>
      <w:r>
        <w:t>A/3597/2013 - 8/8 -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