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ATAS/1170/2012 vom 25. September 2012</w:t>
      </w:r>
    </w:p>
    <w:p>
      <w:r>
        <w:t>GE Cour de justice, 2012-09-25, FR</w:t>
      </w:r>
    </w:p>
    <w:p>
      <w:r>
        <w:rPr>
          <w:b/>
        </w:rPr>
        <w:t xml:space="preserve">Quelle: </w:t>
      </w:r>
      <w:r>
        <w:t>https://mcp.opencaselaw.ch/entscheid/ge_gerichte_ATAS_1170_2012</w:t>
      </w:r>
    </w:p>
    <w:p>
      <w:r>
        <w:t>FR: GE_GERICHTE ATAS/1170/2012 du 25 septembre 2012</w:t>
      </w:r>
    </w:p>
    <w:p>
      <w:r>
        <w:t>IT: GE_GERICHTE ATAS/1170/2012 del 25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prévus par la loi, devant l'autorité compétente, le recours est en conséquence recevable (art. 56 ss LPGA).</w:t>
      </w:r>
    </w:p>
    <w:p>
      <w:r>
        <w:rPr>
          <w:b/>
        </w:rPr>
        <w:t>E. 3</w:t>
      </w:r>
    </w:p>
    <w:p>
      <w:r>
        <w:t>Le litige porte sur le droit de l'assurée à des prestations AI.</w:t>
      </w:r>
    </w:p>
    <w:p>
      <w:r>
        <w:rPr>
          <w:b/>
        </w:rPr>
        <w:t>E. 4</w:t>
      </w:r>
    </w:p>
    <w:p>
      <w:r>
        <w:t>Dans sa réponse du 24 juillet 2012, l'OAI a proposé au vu des nouvelles pièces médicales produites par l'assurée, de procéder à un complément d'instruction et conclu au renvoi du dossier à son office pour ce faire.</w:t>
      </w:r>
    </w:p>
    <w:p>
      <w:r>
        <w:rPr>
          <w:b/>
        </w:rPr>
        <w:t>E. 5</w:t>
      </w:r>
    </w:p>
    <w:p>
      <w:r>
        <w:t>La Cour de céans en prend acte. Elle admet dès lors le recours, annule la décision litigieuse, et renvoie la cause à l'OAI pour instruction complémentaire et nouvelle décision.</w:t>
      </w:r>
    </w:p>
    <w:p>
      <w:r>
        <w:t>A/2013/2012 - 5/5 -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