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ATAS/116/2022 vom 16. Februar 2022</w:t>
      </w:r>
    </w:p>
    <w:p>
      <w:r>
        <w:t>GE Cour de justice, 2022-02-16, FR</w:t>
      </w:r>
    </w:p>
    <w:p>
      <w:r>
        <w:rPr>
          <w:b/>
        </w:rPr>
        <w:t xml:space="preserve">Quelle: </w:t>
      </w:r>
      <w:r>
        <w:t>https://mcp.opencaselaw.ch/entscheid/ge_gerichte_ATAS_116_2022</w:t>
      </w:r>
    </w:p>
    <w:p>
      <w:r>
        <w:t>FR: GE_GERICHTE ATAS/116/2022 du 16 février 2022</w:t>
      </w:r>
    </w:p>
    <w:p>
      <w:r>
        <w:t>IT: GE_GERICHTE ATAS/116/2022 del 16 febbraio 2022</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délai de recours est de trente jours (art. 56 LPGA; art. 62 al. 1 de la de loi sur la procédure administrative du 12 septembre 1985 [LPA - E 5 10]). Interjeté dans la forme et le délai prévus par la loi, le recours est recevable.</w:t>
      </w:r>
    </w:p>
    <w:p>
      <w:r>
        <w:rPr>
          <w:b/>
        </w:rPr>
        <w:t>E. 3</w:t>
      </w:r>
    </w:p>
    <w:p>
      <w:r>
        <w:t>Le litige porte sur le droit du recourant à une rente entière d’invalidité et à une IPAI de 30%.</w:t>
      </w:r>
    </w:p>
    <w:p>
      <w:r>
        <w:t>A/1628/2021 - 5/14 -</w:t>
      </w:r>
    </w:p>
    <w:p>
      <w:r>
        <w:rPr>
          <w:b/>
        </w:rPr>
        <w:t>E. 4.1</w:t>
      </w:r>
    </w:p>
    <w:p>
      <w:r>
        <w:t>L’assuré a fait valoir qu’il n’avait pas eu connaissance du rapport du Dr G______ faisant suite à l’examen médical du 23 septembre 2020 avant le 25 janvier 2021, de sorte qu’il n’avait pas pu le contester et demander une expertise plus sérieuse. Selon l’intimée, le recourant avait reçu le rapport médical du 24 septembre 2020 le 25 janvier 2021, donc à temps pour la rédaction de son opposition, qui en faisait mention. Rien ne pouvait donc être reproché à l’administration quant à la transmission des documents pertinents au recourant.</w:t>
      </w:r>
    </w:p>
    <w:p>
      <w:r>
        <w:rPr>
          <w:b/>
        </w:rPr>
        <w:t>E. 4.2</w:t>
      </w:r>
    </w:p>
    <w:p>
      <w:r>
        <w:t>Tel que garanti par l'art. 29 al. 2 Cst., le droit d'être entendu comprend, notamment, le droit pour l'intéressé de prendre connaissance du dossier (ATF 126 I 7 consid. 2b p. 10; arrêt du Tribunal fédéral 2C_782/2015 du 19 janvier 2016 consid. 2.1),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II 286 consid. 5.1 p. 293; 132 II 485 consid. 3.2 p. 494; 127 I 54 consid. 2b p. 56). Selon la jurisprudence, une violation du droit d'être entendu est considérée comme réparée lorsque l'intéressé jouit de la possibilité de s'exprimer librement devant une autorité de recours pouvant contrôler librement l'état de fait et les considérations juridiques de la décision attaquée, à condition toutefois que l'atteinte aux droits procéduraux de la partie lésée ne soit pas particulièrement grave, de sorte qu'il n'en résulte aucun préjudice pour le justiciable (ATF 137 I 195 consid. 2.3.2 p. 197; 133 I 201 consid. 2.2 p. 204).</w:t>
      </w:r>
    </w:p>
    <w:p>
      <w:r>
        <w:rPr>
          <w:b/>
        </w:rPr>
        <w:t>E. 4.3</w:t>
      </w:r>
    </w:p>
    <w:p>
      <w:r>
        <w:t>En l’espèce, le rapport du Dr G______ du 23 septembre 2020 a été envoyé par l’intimée le 20 janvier 2021 au recourant, qui l’a reçu le 25 suivant. L’intimée a ainsi violé le droit d’être entendu du recourant, qui aurait dû recevoir le rapport avant que la décision du 30 septembre 2020 soit rendue. Cela étant, l’intimée a réparé cette violation en transmettant le rapport au recourant en temps utile pour que celui-ci puisse en prendre connaissance avant de rédiger son opposition. Dans cette dernière, qui est non datée mais qui a été reçue par l’intimée le 2 février 2021, le recourant conteste en effet le rapport en question et ne se plaint pas de ne pas avoir eu suffisamment de temps pour en prendre connaissance. En conséquence, ce premier grief du recourant doit être écarté.</w:t>
      </w:r>
    </w:p>
    <w:p>
      <w:r>
        <w:rPr>
          <w:b/>
        </w:rPr>
        <w:t>E. 5</w:t>
      </w:r>
    </w:p>
    <w:p>
      <w:r>
        <w:t>Le recourant a contesté la valeur probante de l’expertise du Dr G______.</w:t>
      </w:r>
    </w:p>
    <w:p>
      <w:r>
        <w:rPr>
          <w:b/>
        </w:rPr>
        <w:t>E. 5.1</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w:t>
      </w:r>
    </w:p>
    <w:p>
      <w:r>
        <w:t>A/1628/2021 - 6/14 -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w:t>
      </w:r>
    </w:p>
    <w:p>
      <w:r>
        <w:rPr>
          <w:b/>
        </w:rPr>
        <w:t>E. 5.2.1</w:t>
      </w:r>
    </w:p>
    <w:p>
      <w:r>
        <w:t>Les rapports du Dr G______ des 26 février et 24 septembre 2020 sont détaillés. Ils résument l’évolution du cas selon les pièces communiquées, mentionnent les déclarations du recourant, les constatations faites lors d’un examen clinique et le diagnostic retenu. Les conclusions du Dr G______ sont convaincantes et ne sont pas sérieusement remises en cause par les autres rapports médicaux au dossier, en particulier pas par les rapports des Drs F______ et</w:t>
      </w:r>
    </w:p>
    <w:p>
      <w:r>
        <w:t>A/1628/2021 - 7/14 - H______. En effet, selon cette dernière, la suite postopératoire était favorable avec des mobilités tout à fait correctes et une force relative. Si elle a retenu, dans son rapport du 22 juin 2020, qu’il semblait peu probable que le recourant puisse reprendre son travail de maçon ou de plaquiste en sécurité, elle ne s’est pas prononcée sur sa capacité de travail dans une activité adaptée, ne semblant ainsi pas l’exclure, même si elle estimait nécessaire de prévoir une réinsertion sociale avec une réadaptation de poste pour un changement de profession, ce qui n’est pas déterminant. Quant au Dr F______, il considérait dans son rapport du 24 août 2020 que l’assuré pouvait reprendre l’ensemble de ses activités.</w:t>
      </w:r>
    </w:p>
    <w:p>
      <w:r>
        <w:rPr>
          <w:b/>
        </w:rPr>
        <w:t>E. 5.2.2</w:t>
      </w:r>
    </w:p>
    <w:p>
      <w:r>
        <w:t>Le recourant a fait valoir que le Dr G______ avait indiqué, dans son rapport du 26 février 2020, qu’il avait besoin de faire réaliser des investigations, mais que celles-ci n’avaient jamais abouti. Il avait préconisé au minimum une exploration échographique et/ou une IRM locale de même qu’un électromyogramme des MS. Il convient de préciser à cet égard que le Dr G______ a également indiqué dans son rapport du 26 février 2020 qu’il écrivait au Dr F______ pour lui demander une réévaluation du cas de l’assuré, ce qu’il a fait le jour suivant, en demandant à ce médecin s’il fallait programmer une échographie et/ou une IRM de contrôle. Le recourant a informé la SUVA ne pas avoir pu prendre rendez-vous avec son chirurgien avant le 6 mai 2020 et que ce dernier ne pourrait par conséquent pas répondre au Dr G______ avant cette date. Le Dr G______ a alors demandé à la Dresse H______ de voir l’assuré et de lui donner un avis sur le status et ses possibilités fonctionnelles. Une IRM du coude droit de l’assuré a été effectuée le 4 août 2020 et adressée au Dr F______, qui a indiqué dans son rapport du 24 août 2020 que l’évolution immédiate avait été favorable avec une récupération complète des mobilités, mais la persistance de douleurs le long du tendon du biceps. L’IRM qu’il avait fait réaliser montrait une bonne réinsertion du tendon, même si ce dernier était encore légèrement inflammatoire. Il prescrivait au patient quelques jours d’anti- inflammatoires afin d’améliorer la situation, qui devait rentrer dans l’ordre spontanément. L’assuré pouvait reprendre l’ensemble de ses activités et il n’avait pas prévu de le revoir à titre systématique. Les conclusions claires de ce médecin permettent de considérer qu’il les a prises sans estimer nécessaire de procéder à d’autres examens et que l’IRM était suffisante. Il en résulte que l’on ne peut reprocher au Dr G______ d’avoir procédé à un complément d’instruction insuffisant, suite à son rapport du 26 février 2020, avant de rendre son dernier rapport du 24 septembre 2020, qui est fondé sur une instruction complémentaire lui ayant permis d’obtenir l’appréciation de deux chirurgiens orthopédistes et les résultats d’une IRM.</w:t>
      </w:r>
    </w:p>
    <w:p>
      <w:r>
        <w:rPr>
          <w:b/>
        </w:rPr>
        <w:t>E. 5.2.3</w:t>
      </w:r>
    </w:p>
    <w:p>
      <w:r>
        <w:t>Le recourant a fait valoir que le rapport « du 23 septembre 2020, partie 4, discussion chapitres B et C » était en totale contradiction, car le médecin indiquait clairement qu’il ne pouvait pas porter des charges lourdes à cause de sa condition</w:t>
      </w:r>
    </w:p>
    <w:p>
      <w:r>
        <w:t>A/1628/2021 - 8/14 - physique et qu’à la fois il pouvait porter des charges lourdes grâce à sa condition physique. Contrairement à ce que soutient le recourant, le Dr G______ n’est pas contradictoire dans son rapport du 24 septembre 2020, dans lequel il explique de façon claire que l’ancienne activité du recourant n’est pas compatible avec son état de santé, du fait qu’elle exige des centaines de mouvements avec des poids supérieurs à 20 kg en flexion-extension, mais qu’il peut toujours soulever des poids inférieurs à 25 kg de façon ponctuelle et de façon fréquente et rapide des poids supérieurs à 18 kg. Les deux situations ne sont en effet pas similaires et le Dr G______ n’a pas exclu tout usage de la force. Il avait lui-même constaté, lors d’un examen clinique, que la force du recourant au Jamar était supérieure à 50 kg à droite et 48 kg à gauche, répété trois fois, que la force de flexion contrariée au coude était très satisfaisante et que lever un fauteuil de 13 kg était rapide et efficace. Ses conclusions sont par ailleurs cohérentes avec ce que lui avait dit le recourant, à savoir qu’il se sentait capable de reprendre une activité en intensité mais pas en fréquence, qu’il ne pouvait plus utiliser son bras droit pour porter des charges de plus de 20 kg 300 fois par jour (fréquence et rapidité), sans que la douleur apparaisse, ce qui n’était pas le cas « dans l’intensité » si elle était ponctuelle.</w:t>
      </w:r>
    </w:p>
    <w:p>
      <w:r>
        <w:rPr>
          <w:b/>
        </w:rPr>
        <w:t>E. 5.2.4</w:t>
      </w:r>
    </w:p>
    <w:p>
      <w:r>
        <w:t>Le recourant a encore fait valoir que la Dresse H______ indiquait dans son rapport du 22 juin 2020 qu’il avait une force relative que l’on ne pouvait pas mesurer ce jour sans instrument adéquat. Il reprochait ainsi au Dr G______ d’avancer des chiffres de capacité de ports de charges sur une simple appréciation visuelle, sans appareil de mesure adapté, ni évaluation de son état physique dans un centre de traumatologie orthopédique, comme il l’avait demandé. Le fait que la Dresse H______ ait indiqué que le recourant avait une force relative que l’on ne pouvait pas mesurer ce jour sans instrument adéquat ne suffit pas à remettre sérieusement en cause les conclusions du Dr G______, qui sont convaincantes à ce sujet, dès lors qu’elles reposent sur les déclarations du recourant et un examen clinique, lors duquel le Dr G______ a précisément testé la capacité du recourant à porter des charges.</w:t>
      </w:r>
    </w:p>
    <w:p>
      <w:r>
        <w:rPr>
          <w:b/>
        </w:rPr>
        <w:t>E. 5.2.5</w:t>
      </w:r>
    </w:p>
    <w:p>
      <w:r>
        <w:t>En conclusion, les rapports du Dr G______ doivent se voir reconnaître une pleine valeur probante.</w:t>
      </w:r>
    </w:p>
    <w:p>
      <w:r>
        <w:rPr>
          <w:b/>
        </w:rPr>
        <w:t>E. 6</w:t>
      </w:r>
    </w:p>
    <w:p>
      <w:r>
        <w:t>Le recourant a fait valoir que le cas n’était pas stabilisé, compte tenu du fait que le métier antérieurement exercé n’était plus exigible.</w:t>
      </w:r>
    </w:p>
    <w:p>
      <w:r>
        <w:rPr>
          <w:b/>
        </w:rPr>
        <w:t>E. 6.1</w:t>
      </w:r>
    </w:p>
    <w:p>
      <w:r>
        <w:t>Conformément à l'art. 18 al. 1 LAA, si l’assuré est invalide (art. 8 LPGA) à</w:t>
      </w:r>
    </w:p>
    <w:p>
      <w:r>
        <w:rPr>
          <w:b/>
        </w:rPr>
        <w:t>E. 6.2</w:t>
      </w:r>
    </w:p>
    <w:p>
      <w:r>
        <w:t>Il résulte des considérations qui précèdent que l’état de santé peut être stabilisé même si le métier habituel n’est plus exigible, car il peut être attendu des personnes assurées qu’elles exercent une autre activité que leur activité habituelle, adaptée à leurs limitations fonctionnelles. En l’espèce, dans la mesure où aucun nouveau traitement ou intervention chirurgicale susceptible d’améliorer la capacité de travail du recourant ne sont préconisés, c’est à juste titre que le Dr G______ a retenu que son état était stabilisé et que l’intimée a considéré qu’une activité professionnelle adaptée aux limitations fonctionnelles du recourant était exigible de lui. 7. Il convient encore d’examiner le bien-fondé du calcul du taux d’invalidité par l’intimée. 7.1 7.1.1 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w:t>
      </w:r>
    </w:p>
    <w:p>
      <w:r>
        <w:t>A/1628/2021 - 10/14 -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ATF 128 V 29 consid. 1 ATF 130 V 343 consid. 3.4). Dans ce contexte, 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129 V 472 consid. 4.2.1 5; ATF 126 V 75 consid. 3b/aa). 7.1.2 Selon le principe prévalant dans le domaine de l'assurance-invalidité et applicable également dans l’assurance-accidents, un assuré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prises en compte l'existence d'un marché du travail équilibré et la durée prévisible des rapports de travail (ATF 138 I 205 consid. 3.2 et les références; cf. aussi arrêt du Tribunal fédéral 9C_644/2015 du 3 mai 2016 consid. 4.3.1). 7.1.3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7.1.4 Pour fixer le revenu sans invalidité, il faut établir ce que l'assuré aurait, au degré de la vraisemblance prépondérante, réellement pu obtenir au moment</w:t>
      </w:r>
    </w:p>
    <w:p>
      <w:r>
        <w:t>A/1628/2021 - 11/14 -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(ATF 129 V 222 consid. 4.3.1 et la référence). 7.1.5 Le revenu d'invalide doit être évalué avant tout en fonction de la situation professionnelle concrète de l'assuré. Il correspond au revenu effectivement réalisé par l'intéressé, pour autant que les rapports de travail apparaissent particulièrement stables, qu'en exerçant l'activité en question celui-ci mette pleinement en valeur sa capacité résiduelle de travail raisonnablement exigible et encore que le gain ainsi obtenu corresponde à son rendement effectif, sans comporter d'éléments de salaire social.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DPT établies par la CNA (ATF 135 V 297 consid. 5.2; ATF 129 V 472 consid. 4.2.1).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 arrêt du Tribunal fédéral 8C_655/2016 du 4 août 2017 consid. 6.3).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étant toutefois précisé que le Tribunal fédéral a laissé ouverte la question de savoir si, dans le domaine de l'assurance-accidents obligatoire, le</w:t>
      </w:r>
    </w:p>
    <w:p>
      <w:r>
        <w:t>A/1628/2021 - 12/14 - critère de l’âge constitue un critère d'abattement ou si l'influence de l'âge sur la capacité de gain doit être prise en compte uniquement dans le cadre de la réglementation particulière de l'art. 28 al. 4 de l’ordonnance sur l'assurance- accidents du 20 décembre 1982 (OLAA - RS 832.202; cf. arrêts du Tribunal fédéral 8C_661/2018 du 28 octobre 2019 consid. 3.3.4.2. et 8C_122/2019 du</w:t>
      </w:r>
    </w:p>
    <w:p>
      <w:r>
        <w:rPr>
          <w:b/>
        </w:rPr>
        <w:t>E. 10</w:t>
      </w:r>
    </w:p>
    <w:p>
      <w:r>
        <w:t>septembre 2019 consid. 4.3.2 et les références citées). 7.2 7.2.1 Le recourant a fait valoir que, selon le revenu avec invalidité retenu par l’intimée sur la base des ESS, il serait mieux payé dans un poste sans qualification ni expérience et après un arrêt de travail de 18 mois qui faisait suite à un accident de travail dont il conservait des séquelles, que dans son ancien emploi qualifié avec expérience et en parfait état de santé. Cela ne correspondait pas avec le fait qu’il avait été retenu que seules deux possibilités s’offraient à lui, puisqu’il se retrouvait sans pouvoir exercer ses diplômes, à savoir un travail dans l’hébergement ou dans la restauration. À cet égard, la jurisprudence admet, de manière constante, que l'évaluation de l'invalidité repose sur des données statistiques lorsque la personne assurée n'exerce plus d'activité, ou aucune activité adaptée lui permettant de mettre pleinement en valeur sa capacité résiduelle de travail (ATF 135 V 297 consid. 5.2 p. 301 et les arrêts cités), et que le principe constitutionnel de l'égalité de traitement commande de recourir aux salaires statistiques ressortant de l'ESS, sans tenir compte de données salariales régionales, et à plus forte raison cantonales (arrêt 9C_535/2019 du 31 octobre 2019 consid. 4 et les arrêts cités). Le recourant ne met en évidence aucun élément qui justifierait de s'écarter de cette jurisprudence constante (sur les conditions d'un changement de jurisprudence, ATF 144 V 72 consid. 5.3.2 p. 77). 7.2.2 Le recourant fait valoir dans son recours qu’il était dans l’impossibilité de reprendre un travail sans se réorienter professionnellement. En l’espèce, on peut attendre du recourant qu’il se réoriente professionnellement dans une activité correspondant au salaire statistique retenu, qui recouvre un large éventail d'activités variées et non qualifiées (branche d'activités), n'impliquant pas de formation particulière, et compatibles avec des limitations fonctionnelles peu contraignantes. En effet, son âge (49 ans lors du calcul de la rente) et ses limitations fonctionnelles (pas de flexion-extension du coude en soulèvement de poids de plus de 25 kg de façon ponctuelle et 18 kg de façon fréquente et rapide) ne permettent pas de considérer qu’il ne pourrait trouver un travail adapté dans un marché du travail équilibré. Il n’est de plus pas dénué de ressources, à teneur de la note téléphonique du 11 mars 2020, dont il ressort qu’il disait être au bénéfice de plusieurs CFC (maçon du bâti ancien, avec un complément de compétences dans le bâtiment ; chauffagiste et mécanicien automobile), avoir travaillé dans le domaine du tertiaire, avoir une bonne expérience et avoir étudié la gestion</w:t>
      </w:r>
    </w:p>
    <w:p>
      <w:r>
        <w:t>A/1628/2021 - 13/14 - d’entreprise. Cela ressort également de son entretien avec la SUVA du 26 juin 2020, lors duquel il avait dit prendre conscience qu’il devait réorganiser sa vie professionnelle, qu’il pensait à une activité du tertiaire dans le bâtiment comme des prises de mesures, la topographie ou l’organisation d’un chantier et qu’il allait se renseigner auprès d’entreprises suisses pour voir s’il pourrait être engagé pour ce type d’activités avec une formation. En conséquence, le revenu d’invalide pris en compte par l’intimée doit être confirmé. 8. L’intimée a refusé l’octroi d’une IPA, ce que le recourant conteste, estimant avoir droit à une IPAI de 30%. 8.1 Aux termes de l'art. 24 LAA, si par suite d'un accident, l'assuré souffre d'une atteinte importante et durable à son intégrité physique, mentale ou psychique, il a droit à une indemnité équitable pour atteinte à l'intégrité (al. 1). Le taux d'une atteinte à l'intégrité doit être évalué exclusivement sur la base de constatations médicales (ATF 115 V 147 consid. 1; ATF 113 V 218 consid. 4b; RAMA 2004 p. 415; arrêt du Tribunal fédéral des assurances U 134/03 du</w:t>
      </w:r>
    </w:p>
    <w:p>
      <w:r>
        <w:rPr>
          <w:b/>
        </w:rPr>
        <w:t>E. 12</w:t>
      </w:r>
    </w:p>
    <w:p>
      <w:r>
        <w:t>janvier 2004 consid. 5.2). 8.2 En l’espèce, le Dr G______ a, le 24 septembre 2020, considéré que le recourant ne pouvait se prévaloir d’une atteinte à l’intégrité compte tenu de la bonne restauration fonctionnelle et anatomique évaluable. Le recourant n’a pas produit d’éléments médicaux qui permettraient de remettre en cause les conclusions du Dr G______, dont le rapport est probant. Il en résulte que la décision querellée doit être confirmée en tant qu’elle n’octroie pas d’IPAI au recourant. 9. Les considérants qui précèdent conduisent ainsi au rejet du recours. La procédure est gratuite (art. 61 let. fbis a contrario LPGA).</w:t>
      </w:r>
    </w:p>
    <w:p>
      <w:r>
        <w:t>A/1628/2021 - 14/14 -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