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ATAS/116/2018 vom 8. Februar 2018</w:t>
      </w:r>
    </w:p>
    <w:p>
      <w:r>
        <w:t>GE Cour de justice, 2018-02-08, FR</w:t>
      </w:r>
    </w:p>
    <w:p>
      <w:r>
        <w:rPr>
          <w:b/>
        </w:rPr>
        <w:t xml:space="preserve">Quelle: </w:t>
      </w:r>
      <w:r>
        <w:t>https://mcp.opencaselaw.ch/entscheid/ge_gerichte_ATAS_116_2018</w:t>
      </w:r>
    </w:p>
    <w:p>
      <w:r>
        <w:t>FR: GE_GERICHTE ATAS/116/2018 du 8 février 2018</w:t>
      </w:r>
    </w:p>
    <w:p>
      <w:r>
        <w:t>IT: GE_GERICHTE ATAS/116/2018 del 8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A/3824/2017 - 8/12 -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le bien-fondé du refus de l’intimée de prendre en charge les suites du décès de feu l’assuré survenu le 9 février 2016.</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b.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du Tribunal fédéral 8C_656/2016 du 2 août 2017 consid. 3.2). La question de l'existence d'un accident sera tranchée indépendamment du point de savoir si l'infraction aux règles de l'art</w:t>
      </w:r>
    </w:p>
    <w:p>
      <w:r>
        <w:t>A/3824/2017 - 9/12 - dont répond le médecin entraîne une responsabilité (civile ou de droit public). Il en va de même à l'égard d'un jugement pénal éventuel sanctionnant le comportement du médecin (ATF 121 V 35 consid. 1b). Conformément à ces principes, la jurisprudence a par exemple admis l'existence d'un accident, imputable à une cause extérieure extraordinaire, dans le cas d'une confusion en matière de groupes sanguins, dans le cas d'une accumulation d'erreurs à l'occasion d'une angiographie, lors de l'injection trop rapide par voie intraveineuse d'une dose excessive de produits anesthésiques, ainsi que lors de l'oubli d'un cathéter dans la vessie d'un patient, dans le cas d'une lésion du nerf médian à l'occasion d'une prise de sang, dans le cas de la mobilisation sous anesthésie d'un genou fortement raidi, occasionnant la fracture d'une ostéotomie, dans des circonstances où cette opération apparaissait vouée à l'échec, manifestement contraire à l'expérience ainsi qu'à la pratique médicale. En revanche la jurisprudence a nié l'existence d'un accident à propos d'une perforation de l'intestin lors d'une rectoscopie suivie d'un lavement baryté, lors du choix - hautement discutable - d'une technique opératoire, dans le cas d'une perforation par erreur de la sclérotique à l'occasion d'une injection subcorticale parabulbaire au celeston, lors d'une lésion de nerfs de la main survenue au cours d'une opération spécialement difficile et délicate sur un terrain cicatriciel dont l'anatomie était modifiée par de multiples opérations antérieures, à l'occasion de la section accidentelle de la veine épigastrique au cours de l'opération d'une hernie inguinale, lors de la perforation de l'œsophage survenue au cours de l'extraction d'un morceau de viande, dans le cas de gestes médicaux inappropriés associés à de multiples complications ayant entraîné le décès d'une femme sur le point d'accoucher, lors d'une lésion du nerf alvéolaire provoquée par l'extraction d'une dent de sagesse sans qu'un diagnostic préopératoire n'ait été posé, lors de complications imprévisibles et rarissimes liées à un étirement préopératoire du plexus brachial en l'absence d'erreur de traitement, dans le cas où l'inhalation d'un aérosol d'antibiotique a causé une réaction totalement inhabituelle et imprévisible sous la forme d'un choc anaphylactique, et enfin dans celui où l'administration d'une combinaison de médicaments à l'occasion d'un accouchement s'est révélée présenter a posteriori certains risques pour la patiente (cf. arrêt du Tribunal fédéral 8C_767/2012 du 18 juillet 2013 consid. 3.3).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A/3824/2017 - 10/12 -</w:t>
      </w:r>
    </w:p>
    <w:p>
      <w:r>
        <w:rPr>
          <w:b/>
        </w:rPr>
        <w:t>E. 7</w:t>
      </w:r>
    </w:p>
    <w:p>
      <w:r>
        <w:t>En l’espèce, il ressort des pièces produites dans le cadre de la présente procédure que feu l’assuré a subi le 5 février 2016 une pharyngectomie partielle droite, un évidement sélectif à droite et une ligature de branches de l’artère carotide externe avec un fil de Prolène 5.0 en raison d’un saignement relativement important. À la fin de cette intervention, il n’y avait plus d’hémorragie ni de saignement actif, et le drain était bien en place. Par la suite, le patient hospitalisé a été vu quotidiennement par un médecin et il n’a présenté ni signe clinique d’infection, ni signe précurseur d’une hémorragie. Dans la nuit du 8 au 9 février 2016, il est décédé d’un choc hémorragique consécutif à un saignement artériel dans la région de la loge amygdalienne droite. Le Prof. C______ a exposé, lors de son audition du</w:t>
      </w:r>
    </w:p>
    <w:p>
      <w:r>
        <w:rPr>
          <w:b/>
        </w:rPr>
        <w:t>E. 12</w:t>
      </w:r>
    </w:p>
    <w:p>
      <w:r>
        <w:t>Pour le surplus, la procédure est gratuite (art. 61 let. a LPGA).</w:t>
      </w:r>
    </w:p>
    <w:p>
      <w:r>
        <w:t>A/3824/2017 - 12/12 -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