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ATAS/1168/2021 vom 16. November 2021</w:t>
      </w:r>
    </w:p>
    <w:p>
      <w:r>
        <w:t>GE Cour de justice, 2021-11-16, FR</w:t>
      </w:r>
    </w:p>
    <w:p>
      <w:r>
        <w:rPr>
          <w:b/>
        </w:rPr>
        <w:t xml:space="preserve">Quelle: </w:t>
      </w:r>
      <w:r>
        <w:t>https://mcp.opencaselaw.ch/entscheid/ge_gerichte_ATAS_1168_2021</w:t>
      </w:r>
    </w:p>
    <w:p>
      <w:r>
        <w:t>FR: GE_GERICHTE ATAS/1168/2021 du 16 novembre 2021</w:t>
      </w:r>
    </w:p>
    <w:p>
      <w:r>
        <w:t>IT: GE_GERICHTE ATAS/1168/2021 del 16 novembre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le recours est recevable (art. 56 ss LPGA et 62 ss LPA).</w:t>
      </w:r>
    </w:p>
    <w:p>
      <w:r>
        <w:rPr>
          <w:b/>
        </w:rPr>
        <w:t>E. 4</w:t>
      </w:r>
    </w:p>
    <w:p>
      <w:r>
        <w:t>Le litige porte sur le droit de la recourante à des prestations de l’assurance-accidents en relation avec des lésions à son genou gauche au-delà du</w:t>
      </w:r>
    </w:p>
    <w:p>
      <w:r>
        <w:rPr>
          <w:b/>
        </w:rPr>
        <w:t>E. 5</w:t>
      </w:r>
    </w:p>
    <w:p>
      <w:r>
        <w:t>5.1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w:t>
      </w:r>
    </w:p>
    <w:p>
      <w:r>
        <w:t>A/2664/2020 - 9/16 - compromet la santé physique, mentale ou psychique ou qui entraîne la mort (art. 4 LPGA ; ATF 129 V 402 consid. 2.1 ; ATF 122 V 230 consid. 1 et les références).</w:t>
      </w:r>
    </w:p>
    <w:p>
      <w:r>
        <w:rPr>
          <w:b/>
        </w:rPr>
        <w:t>E. 5.2</w:t>
      </w:r>
    </w:p>
    <w:p>
      <w:r>
        <w:t>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8C_235/2018 du 16 avril 2019 consid. 3.1).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 le facteur extérieur - modification entre le corps et l’environnement extérieur - constitue alors en même temps le facteur extraordinaire en raison du déroulement non programmé du mouvement (ATF 130 V 117).</w:t>
      </w:r>
    </w:p>
    <w:p>
      <w:r>
        <w:rPr>
          <w:b/>
        </w:rPr>
        <w:t>E. 6</w:t>
      </w:r>
    </w:p>
    <w:p>
      <w:r>
        <w:t>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et les lésions du tympan (let. h).</w:t>
      </w:r>
    </w:p>
    <w:p>
      <w:r>
        <w:rPr>
          <w:b/>
        </w:rPr>
        <w:t>E. 7</w:t>
      </w:r>
    </w:p>
    <w:p>
      <w:r>
        <w:t>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w:t>
      </w:r>
    </w:p>
    <w:p>
      <w:r>
        <w:t>A/2664/2020 - 10/16 - consid. 5.1 et 8.5). Si, en revanche, tous les critères de la définition de l’accident au sens de l’art. 4 LPGA ne sont pas remplis, l’assureur-accidents est généralement responsable pour une lésion selon la liste de l’art. 6 al. 2 LAA dans la version en vigueur depuis le 1er janvier 2017, à moins qu’il puisse prouver que la lésion est principalement due à une usure ou maladie (consid. 9.1).</w:t>
      </w:r>
    </w:p>
    <w:p>
      <w:r>
        <w:rPr>
          <w:b/>
        </w:rPr>
        <w:t>E. 8</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9</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w:t>
      </w:r>
    </w:p>
    <w:p>
      <w:r>
        <w:t>A/2664/2020 - 11/16 -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10</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11</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w:t>
      </w:r>
    </w:p>
    <w:p>
      <w:r>
        <w:rPr>
          <w:b/>
        </w:rPr>
        <w:t>E. 12</w:t>
      </w:r>
    </w:p>
    <w:p>
      <w:r>
        <w:t>12.1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12.2</w:t>
      </w:r>
    </w:p>
    <w:p>
      <w:r>
        <w:t>Selon le principe de libre appréciation des preuves, pleinement valable en procédure judiciaire de recours dans le domaine des assurances sociales (cf. art. 61 let. c LPGA), le juge n’est pas lié par des règles formelles, mais doit examiner de</w:t>
      </w:r>
    </w:p>
    <w:p>
      <w:r>
        <w:t>A/2664/2020 - 12/16 -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12.3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12.4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12.5</w:t>
      </w:r>
    </w:p>
    <w:p>
      <w:r>
        <w:t>On ajoutera qu’en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w:t>
      </w:r>
    </w:p>
    <w:p>
      <w:r>
        <w:t>A/2664/2020 - 13/16 -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14</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15</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w:t>
      </w:r>
    </w:p>
    <w:p>
      <w:r>
        <w:t>A/2664/2020 - 14/16 -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16</w:t>
      </w:r>
    </w:p>
    <w:p>
      <w:r>
        <w:t>En l’espèce, par décision du 13 juillet 2020, l’intimée, en se fondant sur les rapports des Drs F______ et H______ notamment, a mis un terme au versement de ses prestations concernant le genou gauche de la recourante avec effet rétroactif au 5 avril 2019. La recourante conteste le bien-fondé de cette décision en se fondant sur l’avis du chirurgien orthopédique qu’elle a consulté en raison de son accident du 4 février 2019 notamment.</w:t>
      </w:r>
    </w:p>
    <w:p>
      <w:r>
        <w:rPr>
          <w:b/>
        </w:rPr>
        <w:t>E. 17</w:t>
      </w:r>
    </w:p>
    <w:p>
      <w:r>
        <w:t>À titre liminaire, il est constaté que le qualificatif d’accident de l’événement du 4 février 2019 n’est pas contesté et que l’intimée a accepté de prester jusqu’au 5 avril 2019, l’assureur-maladie ayant pour sa part accepté la prise en charge du cas au-delà de cette date.</w:t>
      </w:r>
    </w:p>
    <w:p>
      <w:r>
        <w:rPr>
          <w:b/>
        </w:rPr>
        <w:t>E. 18</w:t>
      </w:r>
    </w:p>
    <w:p>
      <w:r>
        <w:t>L’intimée estime établi à teneur des documents médicaux que la lésion ayant résulté de l’accident est une simple contusion et non une lésion structurelle et que la recourante présentait un état dégénératif préexistant. Les radiologies et les images IRM ne mettent pas en évidence de fracture selon l’ensemble des médecins qui se sont prononcés sur ce cas. Le seul médecin qui a évoqué au regard des images IRM une atteinte cartilagineuse d’ordre traumatique est le médecin de la recourante, soit le Dr B______. L’avis de ce dernier n’est cependant partagé par aucun des médecins interrogés par l’intimée, ni retenu par les Drs E______ et D______ lors de l’examen des images, respectivement de radiologie et d’IRM. La prise de position du Dr B______ ne prend en outre pas en compte l’état maladif préexistant et l’intervention chirurgicale ayant été subie par la recourante en mai 2018 sur le même genou. C’est pourtant ce même médecin qui a attesté, de façon rétrospective, en février 2019, une incapacité de travail de la recourante dès le mois de mai 2018 pour cause de maladie (à la suite de l’opération d’un kyste au même genou). L’avis du Dr B______ ne peut dès lors être privilégié aux avis médicaux concordants ressortant du dossier et en particulier aux diagnostics et avis médicaux du Dr H______, lesquels doivent se voir reconnaître, en l’espèce, une pleine valeur probante puisque ce médecin, spécialisé en médecine orthopédique, a eu accès aux éléments médicaux concernant l’accident du 4 février 2019 et a pris position sur l’avis du médecin de la recourante qui retenait une fracture en lieu et place d’une ulcération profonde du cartilage, soit une pathologie dégénérative préexistante.</w:t>
      </w:r>
    </w:p>
    <w:p>
      <w:r>
        <w:t>A/2664/2020 - 15/16 - Il y a dès lors lieu d’admettre, sans qu’il soit nécessaire de mettre en œuvre, comme le demande la recourante, une instruction complémentaire sous la forme d’une expertise médicale, que la chute survenue le 4 février 2019 n’a entraîné qu’une aggravation passagère de l’affection préexistante du genou gauche et que le status quo sine a été atteint six semaines après cet événement.</w:t>
      </w:r>
    </w:p>
    <w:p>
      <w:r>
        <w:rPr>
          <w:b/>
        </w:rPr>
        <w:t>E. 19</w:t>
      </w:r>
    </w:p>
    <w:p>
      <w:r>
        <w:t>Le recours est rejeté.</w:t>
      </w:r>
    </w:p>
    <w:p>
      <w:r>
        <w:rPr>
          <w:b/>
        </w:rPr>
        <w:t>E. 20</w:t>
      </w:r>
    </w:p>
    <w:p>
      <w:r>
        <w:t>Pour le surplus, la procédure est gratuite (art. 61 let. a LPGA). * * * * * *</w:t>
      </w:r>
    </w:p>
    <w:p>
      <w:r>
        <w:t>A/2664/2020 - 16/16 -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