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ATAS/1167/2021 vom 10. November 2021</w:t>
      </w:r>
    </w:p>
    <w:p>
      <w:r>
        <w:t>GE Cour de justice, 2021-11-10, FR</w:t>
      </w:r>
    </w:p>
    <w:p>
      <w:r>
        <w:rPr>
          <w:b/>
        </w:rPr>
        <w:t xml:space="preserve">Quelle: </w:t>
      </w:r>
      <w:r>
        <w:t>https://mcp.opencaselaw.ch/entscheid/ge_gerichte_ATAS_1167_2021</w:t>
      </w:r>
    </w:p>
    <w:p>
      <w:r>
        <w:t>FR: GE_GERICHTE ATAS/1167/2021 du 10 novembre 2021</w:t>
      </w:r>
    </w:p>
    <w:p>
      <w:r>
        <w:t>IT: GE_GERICHTE ATAS/1167/2021 del 10 novembre 2021</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 La recevabilité du recours doit être examiné d'office, en particulier en ce qui concerne les conditions de forme (CR LPGA – Jean MÉTRAL ad art. 61 N 42). b. Selon l’art. 61 let. b LPGA, l’acte de recours doit contenir un exposé succinct des faits et motifs invoqués, ainsi que les conclusions; si l’acte n’est pas conforme à ces règles, le tribunal impartit un délai convenable au recourant pour combler les lacunes, en l’avertissant qu’en cas d’inobservation le recours sera écarté. Même si</w:t>
      </w:r>
    </w:p>
    <w:p>
      <w:r>
        <w:t>A/3068/2020 - 4/6 - cela n'est pas précisé, le recours doit être déposé par écrit (CR LPGA - Jean METRAL, op. cit.). Au niveau cantonal, l’art. 89B al. 1 de la loi sur la procédure administrative du 12 septembre 1985 (LPA- E 5 10) prescrit que le recours est adressé en deux exemplaires à la chambre de céans soit par une lettre, soit par un mémoire signé, comportant les nom, prénoms, domicile ou résidence des parties ou, s'il s'agit d'une personne morale, toute autre désignation précise (let. a), un exposé succinct des faits ou des motifs invoqués (let. b), et des conclusions (let. c). L'art. 89B al. 3 LPA reprend la teneur de l'art. 61 let. b 2ème phrase LPGA. Ni la LPGA ni la LPA n'admettent le dépôt d'un recours par voie électronique (CR LPGA - Jean METRAL op. cit.; Stéphane GRODECKI, Romain JORDAN, Code annoté de procédure administrative genevoise, ad art. 64 N 799). c. Le délai de recours est de trente jours (art. 56 LPGA; art. 62 al. 1 LPA). Selon l'art. 38 LPGA, les délais comptés par jours ou par mois commencent à courir le lendemain de leur communication ou de l'événement qui les déclenche (al. 1). Lorsque le dernier jour du délai tombe un samedi, un dimanche ou sur un jour légalement férié, le délai expire le premier jour utile (al. 3).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Il n'est pas nécessaire que la personne assurée ait effectivement pris connaissance de la communication. Il suffit que celle-ci soit arrivée dans sa sphère d'influence. Tel est le cas lorsque le destinataire la reçoit dans sa boîte à lettre, sa case postale ou lorsqu'un tiers autorisé la réceptionne (ATF 142 V 599 consid. 2.4.1 p. 603). La décision qui n'est remise que contre la signature du destinataire ou d'un tiers habilité est réputée reçue au plus tard sept jours après la première tentative infructueuse de distribution (art. 38 al. 2bis LPGA et 62 al. 4 LPA). d.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141 IV 228 consid. 1.1 et les références citées; arrêt du Tribunal fédéral 8C_908/2017 du 17 janvier 2018). À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141 II 429 consid. 3.1; ATF 139 IV 228 consid. 1.1; ATF 119 V 94 consid. 4b).</w:t>
      </w:r>
    </w:p>
    <w:p>
      <w:r>
        <w:t>A/3068/2020 - 5/6 - Si l'assuré doit s'attendre à une communication de l'assureur social, notamment lorsqu'une procédure d'opposition est en cours, il doit prendre des dispositions pour être atteint par les communications. Lorsque le courrier est gardé à l'office de poste, la notification est réputée intervenue à l'échéance du délai de garde de sept jours (CR LPGA - Anne-Sylvie DUPONT ad art. 38 N 9 et les références citées). En principe, le tribunal peut notifier valablement une décision à l'adresse indiquée par l'assuré, sans devoir vérifier préalablement si celle-ci correspond effectivement à l'adresse du domicile civil ou du siège (CR LPGA – Jean MÉTRAL ad art. 61 N 39).</w:t>
      </w:r>
    </w:p>
    <w:p>
      <w:r>
        <w:rPr>
          <w:b/>
        </w:rPr>
        <w:t>E. 3</w:t>
      </w:r>
    </w:p>
    <w:p>
      <w:r>
        <w:t>En l'occurrence, l'intimée a notifié les décisions sur opposition sous pli recommandé le 27 août 2020 aux recourants à son adresse indiquée à l'OCPM. Ceux-ci les ont manifestement reçues, puisque, par courriel du 21 septembre 2020, le recourant a manifesté à l'intimée sa volonté de recourir contre les décisions litigieuses. Toutefois, le recours n'est pas valable à la forme, dès lors que le dépôt du recours par voie électronique n'est pas admis. Après que l'intimée ait transmis ce courriel et la lettre du recourant du 2 avril 2020 à la chambre de céans, celle-ci l'a invité, par courrier recommandé du 5 octobre 2020 à l'adresse indiquée à l'OCPM et figurant sur les décisions sur opposition, à lui faire parvenir un recours signé et accompagné de la décision attaquée dans un délai échéant au 26 octobre 2020, tout en l'avertissant qu'à défaut son recours sera écarté. Ce courrier a été retourné à la chambre de céans par la poste avec la mention introuvable à l'adresse indiquée. Le 2 novembre 2020, la chambre de céans a renvoyé son courrier du 5 octobre 2020 à l'adresse du bureau du recourant figurant dans son courrier du 2 avril 2020, sans toutefois fixer un nouveau délai pour régulariser son recours. Les recourants n'ont satisfait aux conditions de recevabilité de son recours que par actes du 3 décembre 2020, soit largement après le 26 octobre 2020. Dans la mesure où les recourants ont fait savoir à l'intimée qu'ils contestaient ses décisions sur opposition et qu'ils devaient donc s'attendre à recevoir des communications, il leur aurait appartenu d'aviser l'intimée de leur départ et de lui communiquer leur nouvelle adresse. L'ayant omis, ils sont censés avoir reçu les communications des autorités, même s'ils n'en ont pas pris connaissance. Dans ces conditions, le fait qu'ils n'ont pas reçu le courrier du 5 octobre 2020 de la chambre de céans ne peut justifier que le recours ait été régularisé seulement après le délai imparti au 26 octobre 2020.</w:t>
      </w:r>
    </w:p>
    <w:p>
      <w:r>
        <w:rPr>
          <w:b/>
        </w:rPr>
        <w:t>E. 4</w:t>
      </w:r>
    </w:p>
    <w:p>
      <w:r>
        <w:t>Partant, le recours est irrecevable.</w:t>
      </w:r>
    </w:p>
    <w:p>
      <w:r>
        <w:rPr>
          <w:b/>
        </w:rPr>
        <w:t>E. 5</w:t>
      </w:r>
    </w:p>
    <w:p>
      <w:r>
        <w:t>La procédure est gratuite.</w:t>
      </w:r>
    </w:p>
    <w:p>
      <w:r>
        <w:t>PAR CES MOTIFS, LA CHAMBRE DES ASSURANCES SOCIALES :</w:t>
      </w:r>
    </w:p>
    <w:p>
      <w:r>
        <w:t>A/3068/2020 - 6/6 -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