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ATAS/1167/2020 vom 30. November 2020</w:t>
      </w:r>
    </w:p>
    <w:p>
      <w:r>
        <w:t>GE Cour de justice, 2020-11-30, FR</w:t>
      </w:r>
    </w:p>
    <w:p>
      <w:r>
        <w:rPr>
          <w:b/>
        </w:rPr>
        <w:t xml:space="preserve">Quelle: </w:t>
      </w:r>
      <w:r>
        <w:t>https://mcp.opencaselaw.ch/entscheid/ge_gerichte_ATAS_1167_2020</w:t>
      </w:r>
    </w:p>
    <w:p>
      <w:r>
        <w:t>FR: GE_GERICHTE ATAS/1167/2020 du 30 novembre 2020</w:t>
      </w:r>
    </w:p>
    <w:p>
      <w:r>
        <w:t>IT: GE_GERICHTE ATAS/1167/2020 del 30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8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837.0). Sa compétence pour juger du cas d’espèce est ainsi établie.</w:t>
      </w:r>
    </w:p>
    <w:p>
      <w:r>
        <w:rPr>
          <w:b/>
        </w:rPr>
        <w:t>E. 2</w:t>
      </w:r>
    </w:p>
    <w:p>
      <w:r>
        <w:t>En l’occurrence, l’intimé a rendu deux nouvelles décisions le 15 octobre 2020, lesquelles ont donné entièrement satisfaction à la recourante.</w:t>
      </w:r>
    </w:p>
    <w:p>
      <w:r>
        <w:rPr>
          <w:b/>
        </w:rPr>
        <w:t>E. 3</w:t>
      </w:r>
    </w:p>
    <w:p>
      <w:r>
        <w:t>Partant, le recours n’a plus d’objet et la cause sera rayée du rôle. Pour le surplus, la procédure est gratuite.</w:t>
      </w:r>
    </w:p>
    <w:p>
      <w:r>
        <w:t>A/1363/2020 - 3/3 -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