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ATAS/1167/2013 vom 26. November 2013</w:t>
      </w:r>
    </w:p>
    <w:p>
      <w:r>
        <w:t>GE Cour de justice, 2013-11-26, FR</w:t>
      </w:r>
    </w:p>
    <w:p>
      <w:r>
        <w:rPr>
          <w:b/>
        </w:rPr>
        <w:t xml:space="preserve">Quelle: </w:t>
      </w:r>
      <w:r>
        <w:t>https://mcp.opencaselaw.ch/entscheid/ge_gerichte_ATAS_1167_2013</w:t>
      </w:r>
    </w:p>
    <w:p>
      <w:r>
        <w:t>FR: GE_GERICHTE ATAS/1167/2013 du 26 novembre 2013</w:t>
      </w:r>
    </w:p>
    <w:p>
      <w:r>
        <w:t>IT: GE_GERICHTE ATAS/1167/2013 del 26 novembre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w:t>
      </w:r>
    </w:p>
    <w:p>
      <w:r>
        <w:rPr>
          <w:b/>
        </w:rPr>
        <w:t>E. 3</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A/3046/2013 - 6/11 - modification du point de vue de leur contenu, de sorte que la jurisprudence développée à leur propos peut être reprise et appliquée (ATF 130 V 343 consid. 3).</w:t>
      </w:r>
    </w:p>
    <w:p>
      <w:r>
        <w:rPr>
          <w:b/>
        </w:rPr>
        <w:t>E. 4</w:t>
      </w:r>
    </w:p>
    <w:p>
      <w:r>
        <w:t>Le délai de recours est de 30 jours (art. 62 al. 1 de la de loi sur la procédure administrative du 12 septembre 1985; LPA - E 5 10). Par conséquent, le recours du 19 septembre 2013 a été formé en temps utile (art. 62 al. 3 LPA) contre la décision du 20 août 2013. Interjeté dans la forme et le délai prévus par la loi, le recours est recevable (art. 62 ss LPA).</w:t>
      </w:r>
    </w:p>
    <w:p>
      <w:r>
        <w:rPr>
          <w:b/>
        </w:rPr>
        <w:t>E. 5</w:t>
      </w:r>
    </w:p>
    <w:p>
      <w:r>
        <w:t>Est litigieux le droit du recourant à l'assistance juridique pour la procédure d’opposition dès le 22 juillet 2011.</w:t>
      </w:r>
    </w:p>
    <w:p>
      <w:r>
        <w:rPr>
          <w:b/>
        </w:rPr>
        <w:t>E. 6</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jurisprudence y relative rendue dans le cadre de l'art. 4 aCst. (cf. art. 29 al. 3 Cst.) sur les conditions de l'assistance judiciaire en procédure d'opposition (partie dans le besoin, conclusions non dépourvues de toute chance de succès, assistance objectivement indiquée d'après les circonstances concrètes; ATF 125 V 32 consid. 2 et les références) continue de s'appliquer, conformément à la volonté du législateur (Revue de l'avocat 2005 n. 3 p. 123; ATF non publié 9C_674/2011 du 3 août 2012, consid. 3.1; FF 1999 4242).</w:t>
      </w:r>
    </w:p>
    <w:p>
      <w:r>
        <w:rPr>
          <w:b/>
        </w:rPr>
        <w:t>E. 7</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w:t>
      </w:r>
    </w:p>
    <w:p>
      <w:r>
        <w:t>A/3046/2013 - 7/11 -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rPr>
          <w:b/>
        </w:rPr>
        <w:t>E. 8</w:t>
      </w:r>
    </w:p>
    <w:p>
      <w:r>
        <w:t>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(ATF non publié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w:t>
      </w:r>
    </w:p>
    <w:p>
      <w:r>
        <w:t>A/3046/2013 - 8/11 - requérant n'est pas apte à faire face seul (ATF 130 I 180 consid. 2.2 et les références). Un litige sur le droit éventuel à une rente d’invalidité n’est pas susceptible d’affecter de manière particulièrement grave la situation juridique de l’intéressé; en revanche, il a une portée considérable pour l’assuré (ATFA non publié I 127/07 du 7 janvier 2008, consid. 5.2.1;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ATF non publié 9C_105/2007 du 13 novembre 2007, consid. 3.1 et les références).</w:t>
      </w:r>
    </w:p>
    <w:p>
      <w:r>
        <w:rPr>
          <w:b/>
        </w:rPr>
        <w:t>E. 9</w:t>
      </w:r>
    </w:p>
    <w:p>
      <w:r>
        <w:t>En l’espèce, le litige concerne le droit du recourant à une rente d’invalidité, au vu de sa capacité de travail nulle dans son activité antérieure et entière dans une activité adaptée, ainsi que son droit à une indemnité pour atteinte à l’intégrité. Plus particulièrement, il s’agit de déterminer si malgré la stabilisation de son état de santé, le recourant présente des séquelles qui sont dues au moins partiellement à l’accident ou si le « statu quo sine vel ante » est atteint. Par décision du 22 juillet 2011 et décision sur opposition du 20 août 2013, invoquant l’avis de son médecin-conseil et l’arthro-IRM du 27 avril 2011, l’intimée a refusé toutes prestations au-delà du 31 décembre 2010 au motif que les troubles résiduels n’étaient plus en lien de causalité avec l’accident mais avec un trouble dégénératif du tendon du sus-épineux droit. Au vu de la motivation développée par l’intimée dans ses décisions, les griefs formulés par le recourant dans son opposition du 13 septembre 2011 n'apparaissent pas de prime abord dénués de pertinence. En effet, ils sont de nature à jeter un doute sur la conformité au droit de la clôture du cas par l’intimée, notamment sur la question de savoir si les limitations fonctionnelles constatées par le Dr L__________ sont en lien de causalité avec l’accident nonobstant l’apparition d’un trouble dégénératif du tendon du sus-épineux droit. Or, le médecin-conseil de l’intimée s’est borné à se prononcer sur le lien de causalité entre le traitement médical dès le 1er janvier 2011 et l’accident, sans examiner si les limitations fonctionnelles du recourant supprimant toute capacité de travail dans son activité antérieure sont en lien de causalité avec l’accident, ce qui est insuffisant pour statuer en toute connaissance de cause sur la clôture du cas. Plus précisément, il n’a pas déterminé si l'état de santé du recourant est similaire à celui qui existait immédiatement avant l'accident (statu quo ante) ou à celui qui serait survenu tôt ou tard même sans l'accident par suite d'un développement ordinaire (statu quo sine; RAMA 1994 n. U 206 p. 328 consid. 3b; RAMA 1992 n. U 142 p. 75 consid. 4b) ou encore s’il y a un état maladif préexistant qui a été causé ou aggravé par l'accident (ATF non publiés 8C_1003/2010 du 22 novembre 2011, consid. 1.2 et</w:t>
      </w:r>
    </w:p>
    <w:p>
      <w:r>
        <w:t>A/3046/2013 - 9/11 - 8C_552/2007 du 19 février 2008, consid. 2). Par conséquent, la procédure n’est pas dénuée de chances de succès.</w:t>
      </w:r>
    </w:p>
    <w:p>
      <w:r>
        <w:rPr>
          <w:b/>
        </w:rPr>
        <w:t>E. 10</w:t>
      </w:r>
    </w:p>
    <w:p>
      <w:r>
        <w:t>Il convient encore d’examiner si l’assistance d’un avocat s’impose. Au vu de la jurisprudence mentionnée ci-dessus (considérant 8), la situation juridique du recourant dans le cadre d’un litige ayant trait au droit à une rente d’invalidité et à une indemnité pour atteinte à l’intégrité n’est pas susceptible d’être touchée gravement. Par conséquent, il convient de déterminer si, concrètement, à la relative difficulté du cas s’ajoute la complexité de l’état de fait ou des questions de droit auxquels le recourant n’était pas apte à faire face seul. En l’espèce, bien que l’intimée soutienne que la problématique litigieuse ne soulève pas de questions de fait, de droit ou de procédure spécialement complexes nécessitant l’assistance d’un avocat, la Cour de céans n’est pas de cet avis. S’il est bien vrai que dans une procédure régie par le principe inquisitoire, le recours à un avocat n’est en principe pas nécessaire car l’assureur est tenu de prendre d'office les mesures d’instruction nécessaire et recueille les renseignements dont il a besoin (art. 43 al. 1 LPGA), il en va différemment en l’occurrence. En effet, la question cardinale est celle du lien de causalité entre les limitations fonctionnelles du recourant et l’accident qui fait appel à des notions de « statu quo sine et ante » qui sont souvent mal comprises par les médecins, de sorte que l’assistance d’un avocat s’impose. La jurisprudence a d’ailleurs admis à réitérées reprises l’octroi de l’assistance juridique pour trancher de telles problématiques (cf. ATF non publiés 8C_579/2011 du 5 décembre 2011 et 8C_404/2011 du 15 septembre 2011; ATFA non publié U 370/00 du 29 mai 2002). De plus, cette assistance s’impose d’autant plus dans le cas particulier que le recourant a dû déposer un recours pour déni de justice afin que l’intimée rende une décision sur opposition, 21 mois après qu’il ait formé opposition, alors qu’elle n’avait procédé à aucun acte d’instruction justifiant un tel délai de traitement de l’opposition. Par conséquent, il est constant que le recours pour déni de justice déposé par le mandataire a conduit l'intimée à rendre une décision sur opposition, ce qu'elle n'avait pas fait auparavant malgré de nombreuses relances par courrier et rappels (cf. dans le même sens, l’ATFA non publié I 415/06 du 21 juin 2007, consid. 6.2). Dès lors, compte tenu des manquements dans la procédure administrative, l'assistance d'un avocat - et non seulement d'un assistant social ou d'une personne de confiance désignée par une institution sociale - était nécessaire dans le cas particulier.</w:t>
      </w:r>
    </w:p>
    <w:p>
      <w:r>
        <w:rPr>
          <w:b/>
        </w:rPr>
        <w:t>E. 11</w:t>
      </w:r>
    </w:p>
    <w:p>
      <w:r>
        <w:t>S’agissant de savoir si le recourant est dans le besoin, le recourant ne produit aucune pièce relative à sa situation financière. Etant donné qu’il a obtenu l’assistance juridique en procédure de recours, il y a bien des chances qu’il en remplisse les conditions de revenu et de fortune. L’intimée ne s’étant toutefois pas</w:t>
      </w:r>
    </w:p>
    <w:p>
      <w:r>
        <w:t>A/3046/2013 - 10/11 - prononcée sur cette condition, il y a lieu de lui renvoyer le dossier afin qu’elle instruise ce point.</w:t>
      </w:r>
    </w:p>
    <w:p>
      <w:r>
        <w:rPr>
          <w:b/>
        </w:rPr>
        <w:t>E. 12</w:t>
      </w:r>
    </w:p>
    <w:p>
      <w:r>
        <w:t>Au vu de ce qui précède, le recours sera admis et la décision du 20 août 2013 portant sur le refus de l’assistance juridique sera annulée au sens des considérants. Le recourant obtenant gain de cause, une indemnité de 1’000 fr. lui sera accordée à titre de participation à ses frais et dépens (art. 61 let. g LPGA). Pour le surplus, la procédure est gratuite (art. 61 let. a LPGA).</w:t>
      </w:r>
    </w:p>
    <w:p>
      <w:r>
        <w:t>A/3046/2013 - 11/11 -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