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ATAS/1166/2017 vom 20. Dezember 2017</w:t>
      </w:r>
    </w:p>
    <w:p>
      <w:r>
        <w:t>GE Cour de justice, 2017-12-20, FR</w:t>
      </w:r>
    </w:p>
    <w:p>
      <w:r>
        <w:rPr>
          <w:b/>
        </w:rPr>
        <w:t xml:space="preserve">Quelle: </w:t>
      </w:r>
      <w:r>
        <w:t>https://mcp.opencaselaw.ch/entscheid/ge_gerichte_ATAS_1166_2017</w:t>
      </w:r>
    </w:p>
    <w:p>
      <w:r>
        <w:t>FR: GE_GERICHTE ATAS/1166/2017 du 20 décembre 2017</w:t>
      </w:r>
    </w:p>
    <w:p>
      <w:r>
        <w:t>IT: GE_GERICHTE ATAS/1166/2017 del 20 dicembre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 compétence de la chambre de céans à raison de la matière pour juger du cas d’espèce est ainsi établie, étant relevé que la demande semble a priori fondé sur la LCA.</w:t>
      </w:r>
    </w:p>
    <w:p>
      <w:r>
        <w:rPr>
          <w:b/>
        </w:rPr>
        <w:t>E. 2</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3</w:t>
      </w:r>
    </w:p>
    <w:p>
      <w:r>
        <w:t>Selon l'art. 59 al. 1 CPC, le tribunal n'entre en matière que sur les demandes et requêtes qui satisfont aux conditions de recevabilité de l'action. Selon l'art. 60 CPC, le Tribunal examine d'office si les conditions de recevabilité sont remplies (art. 60 CPC).</w:t>
      </w:r>
    </w:p>
    <w:p>
      <w:r>
        <w:rPr>
          <w:b/>
        </w:rPr>
        <w:t>E. 4</w:t>
      </w:r>
    </w:p>
    <w:p>
      <w:r>
        <w:t>À teneur de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(Message du 28 juin 2006 relatif au code de procédure civile suisse, FF 2006 6955; KILLIAS, op. cit., n° 25 s. ad art. 244 CPC; DENIS TAPPY, in CPC, Code de procédure civile commenté, 2011, n os 15 et 18 ad art. 244 CPC). Quand bien même la procédure simplifiée connaît des allègements formels, elle ne dispense pas les parties du devoir d'alléguer les faits, oralement ou par écrit, cas échéant avec l'aide du juge, du moins dans l'hypothèse générale de l'art. 247 al. 1 CPC (arrêt du Tribunal fédéral 4D_57/2013 du 2 décembre 2013 et les références citées).</w:t>
      </w:r>
    </w:p>
    <w:p>
      <w:r>
        <w:t>A/4214/2013 - 5/7 -</w:t>
      </w:r>
    </w:p>
    <w:p>
      <w:r>
        <w:rPr>
          <w:b/>
        </w:rPr>
        <w:t>E. 5</w:t>
      </w:r>
    </w:p>
    <w:p>
      <w:r>
        <w:t>L'art. 132 al. 1 CPC prévoit que le tribunal fixe un délai pour la rectification de vices de forme telle l'absence de signature ou de procuration. L'art. 247 al. 1 CPC impose au juge un devoir d'interpellation accru: il doit amener les parties, par des questions appropriées, à compléter les allégations insuffisantes et à désigner les moyens de preuve (cf., entre autres, BERND HAUCK, in SUTTER-SOMM ET ALII éd., Kommentar zur Schweizerischen Zivilprozessordnung, 2 e éd. 2013, n° 2 ad art. 247 CPC; LAURENT KILLIAS, in Berner Kommentar, 2012, nos 7 et 9 ad art. 247 CPC). Le devoir d'interpellation du juge dépend des circonstances concrètes, notamment de la difficulté de la cause, du niveau de formation des parties et de leur représentation éventuelle par un mandataire professionnel ( STEPHAN MAZAN, in Basler Kommentar, 2 e éd. 2013, n° 16 ss ad art. 247 CPC). Ce devoir concerne avant tout les personnes non assistées et dépourvues de connaissances juridiques, tandis qu'il a une portée restreinte vis-à-vis des parties représentées par un avocat: dans ce dernier cas, le juge doit faire preuve de retenue (cf. notamment STÉPHANIE WILDHABER BOHNET, Le devoir d'interpellation du tribunal en procédure civile suisse, in Jusletter du 23 septembre 2013, p. 13; HAUCK, op. cit., n os 14 et 17 ad art. 247 CPC; KILLIAS, op. cit., n os 11 et 17 ad art. 247 CPC; TAPPY, op. cit., n° 7 ad art. 247 CPC; Message, FF 2006 6956; cf. arrêt 4A_519/2010 du 11 novembre 2010 consid. 2.2, concernant l'ancien art. 343 al. 4 CO). Selon la jurisprudence, le devoir d'interpellation du juge ne doit pas servir à réparer des négligences procédurales (arrêt 5A_115/2012 du 20 avril 2012, consid. 4.5.2, concernant l'art. 56 CPC; avant l'entrée en vigueur du CPC: arrêts 4A_169/2011 du 19 juillet 2011 consid. 5.4; 4P.229/1999 du 21 décembre 1999 consid. 1c; cf. ATF 108 II 337 consid. 2d i.f. ). Ce point de vue est aussi exprimé dans la doctrine (cf. notamment Walter Fellmann, Gerichtliche Fragepflicht nach der Schweizerischen Zivilprozessordnung, in Haftpflichtprozess 2009, p. 89-91; Martin Sarbach, Die richterliche Aufklärungs- und Fragepflicht im schweizerischen Zivilprozessrecht, 2003, p. 132 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Ia 84 consid. 3d; arrêt 4C.143/2002 du 31 mars 2003 consid. 3). Le point de vue selon lequel le juge n'a en principe pas à suppléer au défaut de diligence de l'avocat fait l'objet de critiques ou nuances ( HAUCK, op. cit., n° 17 ad art. 247 CPC); d'aucuns relèvent que la partie "mal" assistée ne doit pas être désavantagée par rapport à celle qui procède seule ( TAPPY, op. cit., n° 27 ad art. 247 CPC, cité par WILDHABER BOHNET, op. cit., p. 15; cf. les arguments opposés par SARBACH, op. cit., p. 139 s.).</w:t>
      </w:r>
    </w:p>
    <w:p>
      <w:r>
        <w:rPr>
          <w:b/>
        </w:rPr>
        <w:t>E. 6</w:t>
      </w:r>
    </w:p>
    <w:p>
      <w:r>
        <w:t>En l'espèce, le courrier du 21 août 2013 doit être considéré comme une demande, dès lors qu'il conclut au paiement d'une somme d'argent chiffrée. Cette demande comporte ainsi des conclusions, mais elle ne décrit pas l'objet du litige, qui est une</w:t>
      </w:r>
    </w:p>
    <w:p>
      <w:r>
        <w:t>A/4214/2013 - 6/7 - condition de recevabilité selon l'art. 244 al. 1 let. c CPC. Appelée à se déterminer sur sa demande du 21 août 2013 à la suite de l'arrêt du Tribunal fédéral du</w:t>
      </w:r>
    </w:p>
    <w:p>
      <w:r>
        <w:rPr>
          <w:b/>
        </w:rPr>
        <w:t>E. 8</w:t>
      </w:r>
    </w:p>
    <w:p>
      <w:r>
        <w:t>Pour le surplus, la procédure est gratuite (art. 114 let. e CPC).</w:t>
      </w:r>
    </w:p>
    <w:p>
      <w:r>
        <w:t>A/4214/2013 - 7/7 -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