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ATAS/1166/2013 vom 26. November 2013</w:t>
      </w:r>
    </w:p>
    <w:p>
      <w:r>
        <w:t>GE Cour de justice, 2013-11-26, FR</w:t>
      </w:r>
    </w:p>
    <w:p>
      <w:r>
        <w:rPr>
          <w:b/>
        </w:rPr>
        <w:t xml:space="preserve">Quelle: </w:t>
      </w:r>
      <w:r>
        <w:t>https://mcp.opencaselaw.ch/entscheid/ge_gerichte_ATAS_1166_2013</w:t>
      </w:r>
    </w:p>
    <w:p>
      <w:r>
        <w:t>FR: GE_GERICHTE ATAS/1166/2013 du 26 novembre 2013</w:t>
      </w:r>
    </w:p>
    <w:p>
      <w:r>
        <w:t>IT: GE_GERICHTE ATAS/1166/2013 del 26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w:t>
      </w:r>
    </w:p>
    <w:p>
      <w:r>
        <w:t>A/2939/2013 - 4/7 -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Le litige porte uniquement sur les conditions d’une remise de l’obligation de restituer les prestations complémentaires, et singulièrement sur celle de la bonne foi.</w:t>
      </w:r>
    </w:p>
    <w:p>
      <w:r>
        <w:rPr>
          <w:b/>
        </w:rPr>
        <w:t>E. 5</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w:t>
      </w:r>
    </w:p>
    <w:p>
      <w:r>
        <w:t>A/2939/2013 - 5/7 -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w:t>
      </w:r>
    </w:p>
    <w:p>
      <w:r>
        <w:rPr>
          <w:b/>
        </w:rPr>
        <w:t>E. 6</w:t>
      </w:r>
    </w:p>
    <w:p>
      <w:r>
        <w:t>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w:t>
      </w:r>
    </w:p>
    <w:p>
      <w:r>
        <w:rPr>
          <w:b/>
        </w:rPr>
        <w:t>E. 7</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Dans le cas d'espèce, il est établi que l'assuré a envoyé au SPC le 28 juin 2012 l'avis de baisse de loyer daté du 17 décembre 2010, entré en vigueur le 1er mai 2011. Or, en application de son devoir de renseigner, il lui appartenait de remettre ce document au SPC dès réception, soit juste après le dépôt de la demande de prestations du 9 novembre 2010, afin que le SPC puisse en tenir compte dans la décision initiale d'octroi du 26 janvier 2011. La notion de bonne foi n'a aucune</w:t>
      </w:r>
    </w:p>
    <w:p>
      <w:r>
        <w:t>A/2939/2013 - 6/7 - connotation morale, ni pénale. Pour que la bonne foi ne soit pas admise, il n'est pas nécessaire que l'assuré ait sciemment caché un élément de sa situation financière. Il suffit qu'il ne se soit pas conformé à ce qui est exigible de toute personne capable de discernement, en matière de devoir de renseignement, pour que son omission de communiquer une réduction de ses charges soit considérée comme une négligence grave. Force est ainsi de constater que le Tribunal fédéral n'admet que très restrictivement une négligence légère. Or, si l'on peut éventuellement admettre que l'assuré n'ait pas réagi lors de la notification de la décision initiale en janvier 2011, alors que la baisse de loyer n'était pas entrée en vigueur et que que le loyer retenu correspondait au loyer payé, tel n'est plus le cas au-delà du 1er mai 2011. D'une part, lorsqu'il a effectivement réduit son versement à sa régie dès le 1er mai 2011, même si ce n'est que de 23 fr. par mois, l'assuré devait en informer le SPC. D'autre part, lorsqu'il a reçu la décision de restitution du 20 septembre 2011 et la décision sur opposition du 25 janvier 2012, l'assuré devait vérifier l'exactitude des montants figurants dans les plans de calculs annexés et informer le SPC que son loyer avait entretemps baissé. Il est ainsi exigible de tout assuré qu'il informe l'administration de cette modification de loyer, de sorte que l'omission de l'assuré ne peut pas être qualifiée de violation légère de l'obligation de renseigner. Compte tenu au surplus du fait que la réduction du loyer a pour conséquence la suppression de toute prestation durant une période, elle doit être qualifiée de modification importante d'une circonstance déterminante pour l’octroi d’une prestation. C'est ainsi à juste titre que le SPC a retenu que la condition de la bonne foi n'était pas remplie, de sorte qu'il est inutile d'examiner celle de la situation financière difficile, les deux conditions étant cumulatives pour pouvoir prétendre à une remise.</w:t>
      </w:r>
    </w:p>
    <w:p>
      <w:r>
        <w:rPr>
          <w:b/>
        </w:rPr>
        <w:t>E. 9</w:t>
      </w:r>
    </w:p>
    <w:p>
      <w:r>
        <w:t>Le recours, mal fondé, est rejeté.</w:t>
      </w:r>
    </w:p>
    <w:p>
      <w:r>
        <w:t>A/2939/2013 - 7/7 -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