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ATAS/1165/2021 vom 18. November 2021</w:t>
      </w:r>
    </w:p>
    <w:p>
      <w:r>
        <w:t>GE Cour de justice, 2021-11-18, FR</w:t>
      </w:r>
    </w:p>
    <w:p>
      <w:r>
        <w:rPr>
          <w:b/>
        </w:rPr>
        <w:t xml:space="preserve">Quelle: </w:t>
      </w:r>
      <w:r>
        <w:t>https://mcp.opencaselaw.ch/entscheid/ge_gerichte_ATAS_1165_2021</w:t>
      </w:r>
    </w:p>
    <w:p>
      <w:r>
        <w:t>FR: GE_GERICHTE ATAS/1165/2021 du 18 novembre 2021</w:t>
      </w:r>
    </w:p>
    <w:p>
      <w:r>
        <w:t>IT: GE_GERICHTE ATAS/1165/2021 del 18 novembre 2021</w:t>
      </w:r>
    </w:p>
    <w:p>
      <w:pPr>
        <w:pStyle w:val="Heading2"/>
      </w:pPr>
      <w:r>
        <w:t>Erwägungen</w:t>
      </w:r>
    </w:p>
    <w:p>
      <w:r>
        <w:rPr>
          <w:b/>
        </w:rPr>
        <w:t>E. 1</w:t>
      </w:r>
    </w:p>
    <w:p>
      <w:r>
        <w:t>Déclare le recours recevable. Au fond :</w:t>
      </w:r>
    </w:p>
    <w:p>
      <w:r>
        <w:rPr>
          <w:b/>
        </w:rPr>
        <w:t>E. 2</w:t>
      </w:r>
    </w:p>
    <w:p>
      <w:r>
        <w:t>Donne suite à la proposition de l’intimé de réduire la durée de la suspension de l’indemnité à six jours.</w:t>
      </w:r>
    </w:p>
    <w:p>
      <w:r>
        <w:rPr>
          <w:b/>
        </w:rPr>
        <w:t>E. 3</w:t>
      </w:r>
    </w:p>
    <w:p>
      <w:r>
        <w:t>Admet partiellement le recours et réforme la décision du 20 mai 2021 en ce sens.</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