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ATAS/1165/2010 vom 15. November 2010</w:t>
      </w:r>
    </w:p>
    <w:p>
      <w:r>
        <w:t>GE Cour de justice, 2010-11-15, FR</w:t>
      </w:r>
    </w:p>
    <w:p>
      <w:r>
        <w:rPr>
          <w:b/>
        </w:rPr>
        <w:t xml:space="preserve">Quelle: </w:t>
      </w:r>
      <w:r>
        <w:t>https://mcp.opencaselaw.ch/entscheid/ge_gerichte_ATAS_1165_2010</w:t>
      </w:r>
    </w:p>
    <w:p>
      <w:r>
        <w:t>FR: GE_GERICHTE ATAS/1165/2010 du 15 novembre 2010</w:t>
      </w:r>
    </w:p>
    <w:p>
      <w:r>
        <w:t>IT: GE_GERICHTE ATAS/1165/2010 del 15 novembre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15 octobre 2008 et se rapporte à une capacité de travail et en tant que ménagère limitée depuis janvier 2007.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pour les faits postérieurs à cette date.</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16 juillet 2009, qui a été confirmé par la décision du 14 septembre 2009, contre laquelle l'assuré a interjeté directement recours devant le Tribunal de céans le 22 octobre 2009.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w:t>
      </w:r>
    </w:p>
    <w:p>
      <w:r>
        <w:t>A/3801/2009 - 8/16 -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Cependant si le cas d'assurance se produit avant le 1er janvier 2008, la personne assurée peut encore déposer une demande de prestations dans les douze mois après la naissance du droit (lettre circulaire n° 253 de l'OFAS du 12 décembre 2007).</w:t>
      </w:r>
    </w:p>
    <w:p>
      <w:r>
        <w:rPr>
          <w:b/>
        </w:rPr>
        <w:t>E. 5</w:t>
      </w:r>
    </w:p>
    <w:p>
      <w:r>
        <w:t>a) 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Selon l'art. 27 première phrase RAI, par travaux habituels des assurés travaillant dans le ménage, il faut entendre notamment l’activité usuelle dans le ménage, l’éducation des enfants ainsi que toute activité artistique ou d’utilité publique.</w:t>
      </w:r>
    </w:p>
    <w:p>
      <w:r>
        <w:t>A/3801/2009 - 9/16 - Selon l'art. 27bis RAI,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b) Tant lors de l'examen initial du droit à la rente qu'à l'occasion d'une révision de celle-ci il faut examiner quelle méthode d'évaluation de l'invalidité il convient d'appliquer. Le choix de la méthode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w:t>
      </w:r>
    </w:p>
    <w:p>
      <w:r>
        <w:rPr>
          <w:b/>
        </w:rPr>
        <w:t>E. 6</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w:t>
      </w:r>
    </w:p>
    <w:p>
      <w:r>
        <w:t>A/3801/2009 - 10/16 -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b) L'invalidité d'un assuré qui n'exerce pas d'activité lucrative et dont on ne peut raisonnablement exiger qu'il en entreprenne une est évaluée selon la méthode spécifique (ATFA du 20 avril 2007, I 288/06).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w:t>
      </w:r>
    </w:p>
    <w:p>
      <w:r>
        <w:t>A/3801/2009 - 11/16 -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w:t>
      </w:r>
    </w:p>
    <w:p>
      <w:r>
        <w:t>A/3801/2009 - 12/16 -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w:t>
      </w:r>
    </w:p>
    <w:p>
      <w:r>
        <w:t>A/3801/2009 - 13/16 -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A/3801/2009 - 14/16 -</w:t>
      </w:r>
    </w:p>
    <w:p>
      <w:r>
        <w:rPr>
          <w:b/>
        </w:rPr>
        <w:t>E. 8</w:t>
      </w:r>
    </w:p>
    <w:p>
      <w:r>
        <w:t>En l'espèce, la recourante invoque tout d'abord un statut mixte 50 % activité lucrative et 50 % travaux habituels (ménage). A cet égard, il convient de déterminer dans quelle mesure la recourante aurait, en bonne santé, exercé une activité lucrative. Dans le questionnaire du 4 novembre 2008 celle-ci a indiqué qu'elle aurait peut-être repris une activité dans le domaine du secrétariat et de la banque si ses enfants le lui permettaient; lors de l'expertise du Dr E_____________ elle a indiqué qu'elle aurait dû travailler à 50 % pour faire face aux dettes du ménage et en audience de comparution personnelle du 27 septembre 2010 elle a précisé qu'elle aurait, en bonne santé, travaillé au moins à 50 %, voire plus. Au vu de ces déclarations, mais aussi du fait que le ménage de la recourante doit faire face à de nombreuses dettes, de l'âge de ses enfants ainsi que de la volonté de la recourante de se réinsérer dans le monde du travail, il parait probable qu'elle aurait, en bonne santé, repris une activité lucrative à 50 % de sorte qu'un statut mixte 50 % activité lucrative, 50 % tâches ménagères doit lui être reconnu.</w:t>
      </w:r>
    </w:p>
    <w:p>
      <w:r>
        <w:rPr>
          <w:b/>
        </w:rPr>
        <w:t>E. 9</w:t>
      </w:r>
    </w:p>
    <w:p>
      <w:r>
        <w:t>S'agissant de l'évaluation de l'état de santé de la recourante, l'intimé a mandaté le Dr E_____________ pour effectuer une expertise médicale. Le rapport de celui-ci du 12 février 2009 répond aux exigences jurisprudentielles précitées pour qu'il lui soit reconnu une pleine valeur probante. La recourante ne le conteste d'ailleurs pas. Elle requiert cependant une instruction concernant son état de santé psychique en se fondant sur l'attestation du Dr H_____________ du 15 juin 2010 concluant à un trouble dépressif récurrent, épisode actuel sévère sans symptômes psychotiques F33.2 et un trouble panique sévère F41.01 entraînant une incapacité de travail totale. Il est à constater que l'intimé n'a pas effectué d'instruction concernant l'état psychique de la recourante, laquelle n'a cependant été régulièrement suivie par un psychiatre, le Dr H_____________, que depuis mars 2010. Selon ce dernier, la recourante est totalement incapable de travailler en raison de diagnostics psychiatriques sévères. Il mentionne que les symptômes dépressifs sont présents depuis des années. On ne saurait toutefois, au vu de cet avis médical émanant du médecin-traitant, admettre que la recourante souffre d'un trouble dépressif sévère depuis des années, ce d'autant que le suivi du Dr H_____________ n'a débuté qu'en 2010. Cependant, il est possible qu'au jour de la décision litigieuse, le 14 septembre 2009, la recourante présentait déjà un diagnostic psychiatrique suffisamment sévère pour être incapacitant. A cet égard, les informations requises par le Tribunal de céans auprès de la Dresse J_____________ (rapport du 25 octobre 2010) vont dans le même sens dès lors que celle-ci a pu constater dès le 26 novembre 2009 une incapacité de travail totale de la recourante, en raison d'un diagnostic de trouble dépressif récurrent, épisode moyen sans syndrome somatique et anxiété généralisée.</w:t>
      </w:r>
    </w:p>
    <w:p>
      <w:r>
        <w:t>A/3801/2009 - 15/16 - Au demeurant, antérieurement, plusieurs médecins non psychiatres avaient relevé des troubles de l'état de santé psychique de la recourante. Le Dr B_____________ a mentionné un état anxio-dépressif (avis du 4 février 2008), le Dr D_____________ un état anxio-dépressif chronique récurrent (avis des 5 novembre 2008 et 30 novembre 2009) et le Dr E_____________ des troubles anxieux et attaques de panique (expertise du 12 février 2009). Le dossier n'étant ainsi pas complètement instruit, il convient de le renvoyer à l'intimé afin qu'il procède à une expertise psychiatrique. A cet égard, il sera rappelé que lorsqu'une autorité judiciaire, cantonale et fédérale, enjoint un office AI de procéder à une "expertise psychiatrique", il ne peut s'agir que d'une expertise administrative, c'est-à-dire d'une expertise ordonnée par l'administration auprès de médecins ou d'une institution indépendants des parties en présence. Des raisons évidentes d'égalité entre les parties empêchent en effet que l'administration, dont la décision a été annulée par l'autorité judiciaire et à laquelle la cause a été renvoyée pour expertise, se tourne pour ce faire vers des médecins qui lui sont liés d'un point de vue institutionnel ou par contrat de travail. Dès lors un rapport du SMR ne saurait être assimilé à une expertise administrative (ATF I 694/05 du 5 décembre 2006).</w:t>
      </w:r>
    </w:p>
    <w:p>
      <w:r>
        <w:rPr>
          <w:b/>
        </w:rPr>
        <w:t>E. 10</w:t>
      </w:r>
    </w:p>
    <w:p>
      <w:r>
        <w:t>a) Au vu de ce qui précède, le recours sera partiellement admis, la décision litigieuse annulée et la cause renvoyée à l'intimé pour instruction complémentaire et nouvelle décision au sens des considérants.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(art. 69 al. 1bis LAI) ainsi qu'une indemnité de 2'500 fr., en faveur de la recourante.</w:t>
      </w:r>
    </w:p>
    <w:p>
      <w:r>
        <w:t>A/3801/2009 - 16/16 -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