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ATAS/1164/2018 vom 13. Dezember 2018</w:t>
      </w:r>
    </w:p>
    <w:p>
      <w:r>
        <w:t>GE Cour de justice, 2018-12-13, FR</w:t>
      </w:r>
    </w:p>
    <w:p>
      <w:r>
        <w:rPr>
          <w:b/>
        </w:rPr>
        <w:t xml:space="preserve">Quelle: </w:t>
      </w:r>
      <w:r>
        <w:t>https://mcp.opencaselaw.ch/entscheid/ge_gerichte_ATAS_1164_2018</w:t>
      </w:r>
    </w:p>
    <w:p>
      <w:r>
        <w:t>FR: GE_GERICHTE ATAS/1164/2018 du 13 décembre 2018</w:t>
      </w:r>
    </w:p>
    <w:p>
      <w:r>
        <w:t>IT: GE_GERICHTE ATAS/1164/2018 del 13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A/3763/2017 - 11/20 - Sa compétence pour juger du cas d’espèce est ainsi établie.</w:t>
      </w:r>
    </w:p>
    <w:p>
      <w:r>
        <w:rPr>
          <w:b/>
        </w:rPr>
        <w:t>E. 2</w:t>
      </w:r>
    </w:p>
    <w:p>
      <w:r>
        <w:t>Interjeté dans les délai et forme prescrits par la loi, le recours est recevable, compte tenu de la suspension des délais entre le 15 juillet et le 15 août inclusivement (art. 56 al. 1 et 38 al. 4 let. a LPGA).</w:t>
      </w:r>
    </w:p>
    <w:p>
      <w:r>
        <w:rPr>
          <w:b/>
        </w:rPr>
        <w:t>E. 3</w:t>
      </w:r>
    </w:p>
    <w:p>
      <w:r>
        <w:t>Est litigieux en l’occurrence le droit à la rente de la recourante.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6</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w:t>
      </w:r>
    </w:p>
    <w:p>
      <w:r>
        <w:t>A/3763/2017 - 12/20 -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7</w:t>
      </w:r>
    </w:p>
    <w:p>
      <w:r>
        <w:t>S’agissant du caractère invalidant d’un trouble somatoforme douloureux,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A/3763/2017 - 13/20 -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w:t>
      </w:r>
    </w:p>
    <w:p>
      <w:r>
        <w:t>A/3763/2017 - 14/20 -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la recourante a fait l’objet d’une première expertise pluridisciplinaire au CEMed en août 2011. Ces médecins émettent les diagnostics, avec répercussion sur la capacité de travail, d’angor de Prinzmetal et de dysfonction ventriculaire gauche modérée sur status après infarctus inféro-postérieur en mars 2007. Selon ces experts, les autres diagnostics sont sans répercussion sur la capacité de travail, à savoir un status post-angioplastie et stent à deux reprises de la coronaire droite en 2008, une obésité, une hyperlipidémie, un épisode dépressif léger sans symptôme somatique depuis début 2008, à caractère chronique, une dysthymie depuis l’adolescence, un trouble panique depuis deux ans environ, des troubles mentaux et troubles du comportement liés à l’utilisation d’opiacés, syndrome de dépendance, actuellement sous régime de substitution sous surveillance médicale et utilisation épisodique depuis l’adolescence, à l’utilisation de sédatifs, syndrome de dépendance, utilisation continue depuis au moins trois ans, à l’utilisation d’alcool depuis l’adolescence, actuellement abstinente, et à</w:t>
      </w:r>
    </w:p>
    <w:p>
      <w:r>
        <w:t>A/3763/2017 - 15/20 - l’utilisation de dérivés du cannabis depuis l’adolescence, actuellement abstinente. Sur le plan physique, seule une activité sédentaire est envisageable à 50 % et il n’y a aucune limitation sur le plan psychique et mental. Sur la base de cette expertise, le SMR reconnaît à la recourante une incapacité de travail totale jusqu’à la date de cette expertise en août 2011, puis de 50 % dans une activité adaptée sur le plan physique. Au vu de cette appréciation de la capacité de travail, la recourante est convoquée pour le 3 avril 2012 au service de la réadaptation professionnelle de l’intimé. Toutefois, le 29 mars 2012, elle annule ce rendez-vous au motif qu’elle est en pleine décompensation et ne se sent pas apte à travailler à 50 %. Cela est confirmé le même jour par le Dr D______. Elle se sent complètement dépassée par les événements et incapable de trouver les ressources pour faire face, de sorte que sa capacité de travail est nulle dans toute activité. En mai 2012, une polysomnographie met en évidence une insomnie d’endormissement et de maintien du sommeil, sans facteur déclenchant décelable, avec un sommeil déstructuré et sans sommeil lent profond et une nette diminution du sommeil paradoxal. Un syndrome d’apnées/hypopnées obstructives a été exclu. Les résultats des tests de Beck pour la dépression et de Spielberger pour l’anxiété sont très élevés. Le 19 février 2013, le Dr D______ informe l’OAI que l’intensité de la pathologie psychiatrique est devenue sévère. Il le confirme dans son rapport du 25 février 2013 et ajoute le diagnostic supplémentaire de TDAH, tout en précisant que cette atteinte peut être à la base du développement et du maintien de la toxicodépendance. La capacité de travail est toujours nulle et une reprise ne peut être envisagée. Cela ressort aussi du rapport du 25 octobre 2013 du Dr D______. Du 17 novembre 2014 au 31 mai 2015, l’assurée bénéficie d’une orientation professionnelle à 50 % auprès de Pro. Cette entreprise conclut, dans son rapport d’évaluation du 20 mars 2015, qu’elle ne peut travailler dans l’économie traditionnelle et que les chances de succès d’une réadaptation sont faibles. Dans son rapport du 27 avril 2015, Pro constate que la recourante n’a pas réussi à poursuivre la mesure. Malgré ses espérances et ses efforts, elle reconnaît que ses problèmes sont trop présents pour résoudre les obstacles à une reprise de travail, tels que l’absentéisme, le relationnel, la persévérance et l’équilibre émotionnel. La recourante a été ensuite soumise à une expertise judiciaire par le Prof. I______, conjointement avec Mme J______. L’expertise retient le diagnostic de trouble dépressif récurrent, épisode actuel moyen avec syndrome somatique, dès 2009, de trouble de la personnalité émotionnellement labile type borderline dès le début de l’âge adulte, de TDAH dès son enfance, de troubles mentaux et du comportement liés à l’utilisation d’opiacés, syndrome de dépendance avec utilisation continue (sous substitution) dès le début de l’âge adulte, et liés à l’utilisation de sédatifs, syndrome de dépendance, utilisation continue. Les limitations fonctionnelles sont</w:t>
      </w:r>
    </w:p>
    <w:p>
      <w:r>
        <w:t>A/3763/2017 - 16/20 - une intolérance à la frustration, une tendance à la rupture conflictuelle des liens, des réactions régressives avec attitudes infantiles inadaptées (en lien avec le trouble borderline) et une tristesse tenace, un sentiment de dévalorisation, une absence de projection dans l’avenir avec vécu de faillite existentielle, aboulie, anhédonie et perturbations du sommeil. La capacité de travail est nulle du point de vue psychiatrique. Il est par ailleurs mentionné dans l’expertise que l’état psychique s’est péjoré gravement dans le cadre d’un bilan existentiel très grave depuis 2014, année à partir de laquelle son incapacité de travail est supérieure à 50 %. Quant à l’expertise du CEMed, l’expertise judiciaire mentionne qu’il est difficile de comparer deux observations à sept ans de distance, mais qu'on peut s’étonner de la minimisation de la pathologie dépressive malgré la description d’un nombre de symptômes compatibles avec une dépression bien plus que légère déjà à l’époque. L’expertise judiciaire critique aussi l'expertise du CEMed en ce qu'elle ne mentionne pas le trouble de la personnalité, alors qu'il s'agit d'un diagnostic identifié de manière claire par le psychiatre traitant.</w:t>
      </w:r>
    </w:p>
    <w:p>
      <w:r>
        <w:rPr>
          <w:b/>
        </w:rPr>
        <w:t>E. 11</w:t>
      </w:r>
    </w:p>
    <w:p>
      <w:r>
        <w:t>La valeur probante de l’expertise judiciaire n’est pas mise en cause par les parties. En tout état de cause, elle correspond à tous les critères jurisprudentiels pour lui reconnaître une pleine valeur probante, sous réserve cependant de l'appréciation du début de l'aggravation de l'état de de santé après l'expertise du CEMed, comme cela sera exposé dans ce qui suit.</w:t>
      </w:r>
    </w:p>
    <w:p>
      <w:r>
        <w:rPr>
          <w:b/>
        </w:rPr>
        <w:t>E. 12</w:t>
      </w:r>
    </w:p>
    <w:p>
      <w:r>
        <w:t>a. Sur la base de cette expertise, l’intimé admet une aggravation de l’état de santé depuis janvier 2014. Quant à la recourante, elle persiste dans ses conclusions tendant à l’octroi d’une rente d’invalidité entière dès octobre 2009, date à laquelle est né le droit à la rente. Reste ainsi litigieuse la question de la capacité de travail de la recourante entre août 2011 et janvier 2014. En premier lieu, il convient de relever que, selon l’avis du 6 février 2012 du SMR, la capacité de travail de la recourante est nulle jusqu’au 16 août 2011, puis de 50 % dans une activité adaptée depuis la date de l’expertise du CEMed. Partant, l’avis du</w:t>
      </w:r>
    </w:p>
    <w:p>
      <w:r>
        <w:rPr>
          <w:b/>
        </w:rPr>
        <w:t>E. 13</w:t>
      </w:r>
    </w:p>
    <w:p>
      <w:r>
        <w:t>Quant aux indicateurs jurisprudentiels pour déterminer le caractère invalidant des troubles psychiques, ils sont en l'occurrence manifestement remplis.</w:t>
      </w:r>
    </w:p>
    <w:p>
      <w:r>
        <w:rPr>
          <w:b/>
        </w:rPr>
        <w:t>E. 14</w:t>
      </w:r>
    </w:p>
    <w:p>
      <w:r>
        <w:t>a. Selon la jurisprudence, l'art. 17 LPGA sur la révision d'une rente en cours s'applique également à la décision par laquelle une rente échelonnée dans le temps est accordée avec effet rétroactif -, la date de la modification étant déterminée conformément à l'art. 88a du règlement du 17 janvier 1961 sur l’assurance- invalidité du 17 janvier 1961 (RAI - RS 831.201; ATF 131 V 164 consid. 2.2 p. 165; 125 V 413 consid. 2d;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w:t>
      </w:r>
    </w:p>
    <w:p>
      <w:r>
        <w:t>A/3763/2017 - 18/20 - Selon l'art. 88a RAI, si la capacité de gain ou la capacité d'accomplir les travaux habituels de l'assuré s'améliore ou que son impotence ou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le besoin de soins ou le besoin d'aide découlant de son invalidité s'aggrave, ce changement est déterminant pour l'accroissement du droit aux prestations dès qu'il a duré trois mois sans interruption notable. L'art. 29bis est toutefois applicable par analogie (al. 2). b. En l'espèce, une amélioration de la santé doit être en principe admise, en vertu de la disposition précitée, dès novembre 2011, soit trois mois après l'expertise du CEMed, jusqu'à l'aggravation en mars 2012, laquelle est à prendre en considération dès juin 2012.</w:t>
      </w:r>
    </w:p>
    <w:p>
      <w:r>
        <w:rPr>
          <w:b/>
        </w:rPr>
        <w:t>E. 15</w:t>
      </w:r>
    </w:p>
    <w:p>
      <w:r>
        <w:t>S'agissant du calcul de la perte de gain durant la durée d'amélioration de la capacité de travail, l'intimé l'a déterminée à 59,92 %, ce que la recourante ne conteste pas. Ce calcul est au demeurant conforme aux dispositions légales en la matière.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Partant, la recourante présente, au taux de capacité de travail de 50% dans une activité adaptée, une perte de gain de 60%, ce qui ouvre le droit à un trois-quarts de rente. Cela étant, la recourante a droit à une rente entière d’invalidité dès la date de naissance du droit en octobre 2009 (art. 29 al. 1 LAI) jusqu’en novembre 2011. Dès décembre 2011 jusqu’en mai 2012, son droit à la rente est de trois-quarts et, enfin, à partir de juin 2012, une rente d’invalidité entière doit de nouveau lui être octroyée.</w:t>
      </w:r>
    </w:p>
    <w:p>
      <w:r>
        <w:rPr>
          <w:b/>
        </w:rPr>
        <w:t>E. 16</w:t>
      </w:r>
    </w:p>
    <w:p>
      <w:r>
        <w:t>Par conséquent, le recours sera partiellement admis, la décision annulée et la recourante mise au bénéfice d’une rente entière d’octobre 2009 à novembre 2011, d’un trois-quarts de rente dès décembre 2011 jusqu’en mai 2012 et d’une rente entière à partir de juin 2012.</w:t>
      </w:r>
    </w:p>
    <w:p>
      <w:r>
        <w:rPr>
          <w:b/>
        </w:rPr>
        <w:t>E. 17</w:t>
      </w:r>
    </w:p>
    <w:p>
      <w:r>
        <w:t>La recourante obtenant largement gain de cause, une indemnité de CHF 3'000.- lui est octroyée à titre de dépens.</w:t>
      </w:r>
    </w:p>
    <w:p>
      <w:r>
        <w:rPr>
          <w:b/>
        </w:rPr>
        <w:t>E. 18</w:t>
      </w:r>
    </w:p>
    <w:p>
      <w:r>
        <w:t>Dès lors que l’intimé succombe, l’émolument, fixé à CHF 200.-, est mis à sa charge. Par ailleurs, dès lors que la chambre de céans s’est substituée à l’intimé pour compléter l’instruction par une expertise médicale, les frais de celle-ci, de CHF 3'488.45, seront mis à sa charge. En effet, après l’expertise du CEMed, l’état de santé de la recourante s’est aggravé. Par ailleurs, alors que cela est exigé par la</w:t>
      </w:r>
    </w:p>
    <w:p>
      <w:r>
        <w:t>A/3763/2017 - 19/20 - jurisprudence du Tribunal fédéral, l’intimé a omis de solliciter l’avis d’un expert après l’échec de la mesure d’orientation professionnelle et le rapport de Pro concluant à ce que la recourante ne peut pas travailler dans l’économie traditionnelle. ***</w:t>
      </w:r>
    </w:p>
    <w:p>
      <w:r>
        <w:t>A/3763/2017 - 20/20 -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