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ATAS/1164/2012 vom 25. September 2012</w:t>
      </w:r>
    </w:p>
    <w:p>
      <w:r>
        <w:t>GE Cour de justice, 2012-09-25, FR</w:t>
      </w:r>
    </w:p>
    <w:p>
      <w:r>
        <w:rPr>
          <w:b/>
        </w:rPr>
        <w:t xml:space="preserve">Quelle: </w:t>
      </w:r>
      <w:r>
        <w:t>https://mcp.opencaselaw.ch/entscheid/ge_gerichte_ATAS_1164_2012</w:t>
      </w:r>
    </w:p>
    <w:p>
      <w:r>
        <w:t>FR: GE_GERICHTE ATAS/1164/2012 du 25 septembre 2012</w:t>
      </w:r>
    </w:p>
    <w:p>
      <w:r>
        <w:t>IT: GE_GERICHTE ATAS/1164/2012 del 25 settembre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w:t>
      </w:r>
    </w:p>
    <w:p>
      <w:r>
        <w:rPr>
          <w:b/>
        </w:rPr>
        <w:t>E. 3</w:t>
      </w:r>
    </w:p>
    <w:p>
      <w:r>
        <w:t>La demande, introduite dans les formes prévues par l'art. 89B de la loi sur la procédure administrative (LPA ; E 5 10), est donc recevable.</w:t>
      </w:r>
    </w:p>
    <w:p>
      <w:r>
        <w:rPr>
          <w:b/>
        </w:rPr>
        <w:t>E. 4</w:t>
      </w:r>
    </w:p>
    <w:p>
      <w:r>
        <w:t>Le litige est limité à la question des dépens, la défenderesse ayant acquiescé à la demande et alloué à l'assurée une rente - au titre de prestations provisoires - de 4'593 fr. 86/an dès le 14 juin 2012, le montant et la date d'octroi n'étant pas contestés par la demanderesse.</w:t>
      </w:r>
    </w:p>
    <w:p>
      <w:r>
        <w:rPr>
          <w:b/>
        </w:rPr>
        <w:t>E. 5</w:t>
      </w:r>
    </w:p>
    <w:p>
      <w:r>
        <w:t>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w:t>
      </w:r>
    </w:p>
    <w:p>
      <w:r>
        <w:t>A/2127/2012 - 5/6 - qu’aura pour l’intéressé l’issue de la procédure (ATF 114 V 87 consid. 4 ; ATFA non publié du 23 janvier 2006, I 699/04, consid. 2).</w:t>
      </w:r>
    </w:p>
    <w:p>
      <w:r>
        <w:rPr>
          <w:b/>
        </w:rPr>
        <w:t>E. 6</w:t>
      </w:r>
    </w:p>
    <w:p>
      <w:r>
        <w:t>En l'espèce, il est démontré que la défenderesse a refusé à tort de verser la prestation préalable, alors que le conseil de l'assurée l'avait précisément informée de la procédure en cours contre la CIEPP et avait souligné que la demande était fondée sur l'art. 26. al. 4 LPP, dont les conditions étaient remplies. Au vu du refus de la fondation, il semblait inutile de la mettre en demeure, ce d'autant que le conseil de l'assurée avait implicitement fixé un délai, en indiquant être disposé à attendre jusqu'à fin juin 2012. Il faut donc admettre que la demanderesse a été contrainte d'agir en justice le 10 juillet 2012, que sa demande était fondée et qu'elle a donc droit à des dépens. Compte tenu de l'unique acte déposé, de la complexité limitée du cas, les dépens seront toutefois limités à 800 fr.</w:t>
      </w:r>
    </w:p>
    <w:p>
      <w:r>
        <w:t>A/2127/2012 - 6/6 -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