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ATAS/1163/2012 vom 25. September 2012</w:t>
      </w:r>
    </w:p>
    <w:p>
      <w:r>
        <w:t>GE Cour de justice, 2012-09-25, FR</w:t>
      </w:r>
    </w:p>
    <w:p>
      <w:r>
        <w:rPr>
          <w:b/>
        </w:rPr>
        <w:t xml:space="preserve">Quelle: </w:t>
      </w:r>
      <w:r>
        <w:t>https://mcp.opencaselaw.ch/entscheid/ge_gerichte_ATAS_1163_2012</w:t>
      </w:r>
    </w:p>
    <w:p>
      <w:r>
        <w:t>FR: GE_GERICHTE ATAS/1163/2012 du 25 septembre 2012</w:t>
      </w:r>
    </w:p>
    <w:p>
      <w:r>
        <w:t>IT: GE_GERICHTE ATAS/1163/2012 del 25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22 mars 1994 et le 19 novembre 2010. Selon les documents produits, au jour du mariage, le demandeur avait déjà accumulé 8'254 fr. 75, c'est-à-dire l'avoir existant au 22 mars 1994 (annexe au courrier de GASTROSOCIAL du 17 juillet 2012, soit décompte de sortie du 1er septembre 1998 à AXA). Sur la base des taux d'intérêts susmentionnés, il convient de calculer les intérêts courus durant le mariage, du 22 mars 1994 au 19 novembre</w:t>
      </w:r>
    </w:p>
    <w:p>
      <w:r>
        <w:t>A/2034/2012 5/6 2010, les ajouter à cette somme ce qui revient à 14'123 fr. 48. C'est bien ce montant qu'il convient de déduire du total des avoirs du demandeur à la date du divorce, conformément à l'art. 24 LFLP et à la jurisprudence. Ainsi, la prestation acquise pendant le mariage par le demandeur est de 81'622 fr. 20 (95'745 fr. 65 - 14'123 fr. 48) tandis que celle acquise par la demanderesse est de 39'313 fr. 15, les intérêts ayant déjà été calculés par les institutions de prévoyance défenderesses. Ainsi le demandeur doit à son ex-épouse le montant de 40'811 fr. 10 (81'622 fr. 20 : 2) et celle-ci doit à celui-là le montant de 19'656 fr. 60 (39'313 fr. 15 : 2), de sorte que c’est le demandeur qui doit à la demanderesse le montant de 21'154 fr. 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A/2034/2012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