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ATAS/1163/2010 vom 18. Februar 2010</w:t>
      </w:r>
    </w:p>
    <w:p>
      <w:r>
        <w:t>GE Cour de justice, 2010-02-18, FR</w:t>
      </w:r>
    </w:p>
    <w:p>
      <w:r>
        <w:rPr>
          <w:b/>
        </w:rPr>
        <w:t xml:space="preserve">Quelle: </w:t>
      </w:r>
      <w:r>
        <w:t>https://mcp.opencaselaw.ch/entscheid/ge_gerichte_ATAS_1163_2010</w:t>
      </w:r>
    </w:p>
    <w:p>
      <w:r>
        <w:t>FR: GE_GERICHTE ATAS/1163/2010 du 18 février 2010</w:t>
      </w:r>
    </w:p>
    <w:p>
      <w:r>
        <w:t>IT: GE_GERICHTE ATAS/1163/2010 del 18 febbraio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février 1997, d’autre part le 25 mars 2010, date à laquelle le jugement de divorce est devenu exécutoire.</w:t>
      </w:r>
    </w:p>
    <w:p>
      <w:r>
        <w:rPr>
          <w:b/>
        </w:rPr>
        <w:t>E. 4</w:t>
      </w:r>
    </w:p>
    <w:p>
      <w:r>
        <w:t>Selon les documents produits, la prestation acquise pendant le mariage par le demandeur est de 42'738 fr. 85 (4'806 fr. 75 + 37'932 fr. 10) tandis que celle acquise par la demanderesse est de 38'736 fr. (665 fr. 75 + 38'070 fr. 25), les intérêts ayant déjà été calculés par les institutions de prévoyance défenderesses. Ainsi le demandeur doit à son ex-épouse le montant de 21'369 fr. 40 (42'738 fr. 85 : 2) et celle-ci doit à celui-là le montant de 19'368 fr. (38'736 fr. : 2), de sorte que c’est le demandeur qui doit à la demanderesse le montant de 2'001 fr. 40 (21'369 fr. 40 - 19'368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A/1179/2010 5/6</w:t>
      </w:r>
    </w:p>
    <w:p>
      <w:r>
        <w:rPr>
          <w:b/>
        </w:rPr>
        <w:t>E. 6</w:t>
      </w:r>
    </w:p>
    <w:p>
      <w:r>
        <w:t>Aucun émolument ne sera perçu, la procédure étant gratuite (art. 73 al. 2 LPP et 89H al. 1 de la loi sur la procédure administrative du 12 septembre 1985).</w:t>
      </w:r>
    </w:p>
    <w:p>
      <w:r>
        <w:t>***</w:t>
      </w:r>
    </w:p>
    <w:p>
      <w:r>
        <w:t>A/1179/2010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