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ATAS/1161/2012 vom 25. September 2012</w:t>
      </w:r>
    </w:p>
    <w:p>
      <w:r>
        <w:t>GE Cour de justice, 2012-09-25, FR</w:t>
      </w:r>
    </w:p>
    <w:p>
      <w:r>
        <w:rPr>
          <w:b/>
        </w:rPr>
        <w:t xml:space="preserve">Quelle: </w:t>
      </w:r>
      <w:r>
        <w:t>https://mcp.opencaselaw.ch/entscheid/ge_gerichte_ATAS_1161_2012</w:t>
      </w:r>
    </w:p>
    <w:p>
      <w:r>
        <w:t>FR: GE_GERICHTE ATAS/1161/2012 du 25 septembre 2012</w:t>
      </w:r>
    </w:p>
    <w:p>
      <w:r>
        <w:t>IT: GE_GERICHTE ATAS/1161/2012 del 25 settembre 2012</w:t>
      </w:r>
    </w:p>
    <w:p>
      <w:pPr>
        <w:pStyle w:val="Heading2"/>
      </w:pPr>
      <w:r>
        <w:t>Erwägungen</w:t>
      </w:r>
    </w:p>
    <w:p>
      <w:r>
        <w:rPr>
          <w:b/>
        </w:rPr>
        <w:t>E. 1</w:t>
      </w:r>
    </w:p>
    <w:p>
      <w:r>
        <w:t>Conformément à l'art. 134 al. 1 let. a ch. 1 et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et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devant l'autorité compétente, le recours est en conséquence recevable (art. 56 ss LPGA).</w:t>
      </w:r>
    </w:p>
    <w:p>
      <w:r>
        <w:rPr>
          <w:b/>
        </w:rPr>
        <w:t>E. 4</w:t>
      </w:r>
    </w:p>
    <w:p>
      <w:r>
        <w:t>Le litige porte sur le droit de l'assuré, ayant droit à une rente AVS depuis 1991, à une augmentation de l'allocation pour impotent d'un degré moyen à un degré grave.</w:t>
      </w:r>
    </w:p>
    <w:p>
      <w:r>
        <w:rPr>
          <w:b/>
        </w:rPr>
        <w:t>E. 5</w:t>
      </w:r>
    </w:p>
    <w:p>
      <w:r>
        <w:t>a) Selon l’art. 69 quater, al. 1 RAVS, l’instruction de la demande achevée, l’Office AI statue sur le droit aux prestations, établit immédiatement le prononcé et le transmet à la caisse de compensation compétente, selon l’art. 125 bis. Selon l’art. 69 quinquies RAVS, la décision concernant l’allocation pour impotent est notifiée aux divers destinataires nommés à l’art. 68 al. 3 RAVS (dont l’ayant droit), ainsi qu’à l’Office AI compétent. L’art. 125 bis RAVS stipule que l’allocation pour impotent est fixée et payée par la caisse de compensation compétente pour le</w:t>
      </w:r>
    </w:p>
    <w:p>
      <w:r>
        <w:t>A/1245/2012 - 9/19 - versement de la rente à l’ayant droit. Selon l’art. 84 LAVS, les décisions et les décisions sur opposition prises par les caisses cantonales de compensation peuvent faire l’objet d’un recours devant le tribunal des assurances du canton où la caisse de compensation a son siège. b) Selon un principe général, la nullité d'un acte commis en violation de la loi doit résulter ou bien d'une disposition légale expresse, ou bien du sens et du but de la norme en question (ATF 122 I 98, consid. 3a). En d'autres termes, il n'y a lieu d'admettre la nullité, hormis les cas expressément prévus par la loi, qu'à titre exceptionnel, lorsque les circonstances sont telles que le système d'annulabilité n'offre manifestement pas la protection nécessaire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consid. 2 et 2.1 et les références). Ainsi, une décision rendue par un organe incompétent est soit nulle, soit annulable, la nullité étant retenue en cas d’incompétence fonctionnelle ou matérielle et dans les cas où l’importance déterminante de la violation de la loi l’emporte sur le principe de la sécurité du droit attaché au maintien des actes ayant précédé la décision contestée (IMBODEN/RHINOW, Schweizerische Verwaltungsrechtsprechung, Bâle, 1976, pp. 242-243). Dans les autres hypothèses, notamment en cas d’incompétence locale, seule l’annulation est admissible (ATF 104 Ib 343 ; SCHWARZENBACH, Grundriss des allgemeinen Verwaltungsrechts, Berne, 1980, p. 124). En cas de doute sur la nullité ou l’annulabilité d’une décision, l’autorité doit pencher pour cette dernière solution, dès lors que l’annulabilité d’un acte administratif vicié est la règle et sa nullité l’exception (ATF 104 Ia 176 in JdT 1980 I 330). Pour le surplus, la nullité d'une décision qui a été prise par une autorité absolument incompétente peut être constatée d'office et en tout temps (ATF 127 II 48, consid. 3g ; ATF 122 I 97 consid. 3a/aa ; ATF 118 Ia 340 consid. 2a ; ATF 116 Ia 217, consid. 2a).</w:t>
      </w:r>
    </w:p>
    <w:p>
      <w:r>
        <w:rPr>
          <w:b/>
        </w:rPr>
        <w:t>E. 6</w:t>
      </w:r>
    </w:p>
    <w:p>
      <w:r>
        <w:t>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w:t>
      </w:r>
    </w:p>
    <w:p>
      <w:r>
        <w:t>A/1245/2012 - 10/19 - faire l’objet d’un recours devant le tribunal des assurances du canton où la caisse de compensation a son siège. b) L'art 17 LPGA al. 1 dispose que si le taux d’invalidité du bénéficiaire de la rente subit une modification notable, la rente est, d’office ou sur demande, révisée pour l’avenir, à savoir augmentée ou réduite en conséquence, ou encore supprimée. L'al 2 précise que, de même, toute prestation durable accordée en vertu d’une décision entrée en force est, d’office ou sur demande, augmentée ou réduite en conséquence, ou encore supprimée si les circonstances dont dépendait son octroi changent notablement (al. 2).</w:t>
      </w:r>
    </w:p>
    <w:p>
      <w:r>
        <w:rPr>
          <w:b/>
        </w:rPr>
        <w:t>E. 7</w:t>
      </w:r>
    </w:p>
    <w:p>
      <w:r>
        <w:t>a)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w:t>
      </w:r>
    </w:p>
    <w:p>
      <w:r>
        <w:t>A/1245/2012 - 11/19 -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w:t>
      </w:r>
    </w:p>
    <w:p>
      <w:r>
        <w:t>A/1245/2012 - 12/19 -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w:t>
      </w:r>
    </w:p>
    <w:p>
      <w:r>
        <w:t>A/1245/2012 - 13/19 -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rPr>
          <w:b/>
        </w:rPr>
        <w:t>E. 8</w:t>
      </w:r>
    </w:p>
    <w:p>
      <w:r>
        <w:t>Concernant l’acte ordinaire de manger, il y a impotence, selon le ch. 8018 CIAA, lorsque la personne assurée ne peut pas se nourrir avec des aliments préparés normalement sans l’aide d’autrui (8C_728/2010).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L’arrêt 8C_728/2010 du 28 janvier 2001, auquel la circulaire précitée fait notamment référence, concerne un jeune assuré paraplégique qui, en raison de sa faiblesse et de la motricité limitée de sa main, ne parvenait pas à couper des aliments, tels que de la viande, des pizzas ou encore du pain pour pouvoir les manger et devait ainsi choisir à la cafétéria des menus qu'il pouvait manger sans l'aide d'un tiers. Le Tribunal fédéral a considéré que si l’assuré ne pouvait bénéficier de l’aide d’un tiers, il devrait mettre les aliments durs à la bouche et les découper en morceaux avec ses dents, ce qui ne correspondait pas aux habitudes sociales et ce qui était par conséquent inhabituel au sens de la jurisprudence. Dans ce contexte, la référence à l’obligation de diminuer le dommage n’y changeait rien.</w:t>
      </w:r>
    </w:p>
    <w:p>
      <w:r>
        <w:rPr>
          <w:b/>
        </w:rPr>
        <w:t>E. 9</w:t>
      </w:r>
    </w:p>
    <w:p>
      <w:r>
        <w:t>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w:t>
      </w:r>
    </w:p>
    <w:p>
      <w:r>
        <w:t>A/1245/2012 - 14/19 -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assurée a besoin de surveillance quotidiennement ou éventuellement (de manière non prévisible) quotidiennement (ATF non publié 8C_912/2008 du 5 mars 2009, consid. 3.2.2 ; ATF non publié I 563/04 du 2 mars 2005 consid. 6.2 ; ZAK 1986 S. 484 E. 3c).</w:t>
      </w:r>
    </w:p>
    <w:p>
      <w:r>
        <w:t>A/1245/2012 - 15/19 -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w:t>
      </w:r>
    </w:p>
    <w:p>
      <w:r>
        <w:t>A/1245/2012 - 16/19 -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11</w:t>
      </w:r>
    </w:p>
    <w:p>
      <w:r>
        <w:t>Dans le cas d'espèce, il n'est pas contesté que l'état de santé de l'assuré s'est aggravé depuis 2008, année de l'octroi d'une allocation de degré moyen. Toutefois, le fait que l'assuré ait désormais besoin d'aide pour toutes les fonctions de certains actes, alors qu'il n'avait auparavant besoin d'aide que pour une fonction partielle n'est pas déterminant. L'octroi d'une allocation de degré grave implique le besoin régulier et important pour tous les actes de la vie, soit 6 et, cumulativement, la nécessité d'une surveillance personnelle et/ou de soins permanents. Le besoin d'aide pour 5 actes de la vie est admis, mais celui pour manger et la nécessité d'une surveillance personnelle restent litigieux. En l'occurrence, l'enquêtrice mentionne que l'assuré n'a besoin d'aide que pour couper des fruits durs, ce qui ne correspond ni à un besoin important (seul un aliment est visé), ni régulier (l'assuré ne mange pas quotidiennement des pommes) et peut être considéré comme faisant partie de la préparation des repas. L'épouse de l'assuré affirme qu'il ne peut plus non plus</w:t>
      </w:r>
    </w:p>
    <w:p>
      <w:r>
        <w:t>A/1245/2012 - 17/19 - couper et mastiquer certaines viandes, mais peut couper des aliments moins durs (gâteau au fromage, lasagne, spaghettis, etc.) et surtout manger seul. Il semble d'ailleurs que l'assuré mange tout à fait seul son petit déjeuner (-déjeuner) de midi, puisque l'épouse précise qu'ils prennent ensemble le repas du soir. Elle ajoute que son mari renverse parfois son verre ou éparpille de la nourriture. Le besoin d'aide pour soulever une brique ou verser le lait fait partie de la préparation des repas et il n'est pas déterminant que l'assuré éparpille un peu son repas, s'il parvient à manger seul - soit porter des aliments à la bouche avec une fourchette -. Les indications du médecin traitant ne sont pas probantes, puisqu'il affirme, sans l'avoir lui-même constaté, que l'assuré aurait besoin d'aide pour couper tous ses aliments ( et pas seulement la viande dure) et les porter à la bouche, alors que l'épouse qui l'assiste quotidiennement ne le prétend pas. De même, le fait de laisser à portée de main de l'assuré un verre d'eau et un en-cas durant la nuit - l'assuré ayant installé sa chambre au rez-de-chaussée - ne relève pas de l'aide pour manger, mais pour se lever et se déplacer pour aller chercher à manger/boire durant la nuit. Bien que l'on puisse douter que l'aide nécessaire pour couper la viande soit suffisante en l'espèce, au vu de la jurisprudence du Tribunal fédéral concernant les difficultés à couper certains aliments, la question du besoin d'aide pour manger peut rester ouverte eu égard à ce qui suit. La loi et la jurisprudence rappellent qu'il ne faut pas confondre la nécessité d'une présence pour apporter l'aide nécessaire aux actes de la vie et la surveillance personnelle. Par définition, l'assuré qui a besoin d'aide pour se lever, se doucher, aller aux toilettes et se déplacer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l'assuré - psychiquement atteint ou sénile par exemple - afin d'empêcher qu'il ne se mette en danger. De même, une maladie avec un risque de défaillance rapide et imprévisible nécessitant une prompte intervention, implique qu'en l'absence d'une surveillance permanente, l'assuré serait en danger. Or, en l'espèce, il est établi que l'assuré reste seul parfois plusieurs heures et peut, en cas de nécessité ou de chute, appeler son épouse au moyen du téléphone portable qu'il a en permanence sur lui. En fait, le seul risque évoqué par ses médecins et physiothérapeute est celui de chute - à l'instar de la plupart des personnes très âgées - lequel est inexistant si l'assuré est installé dans un fauteuil, dans sa chaise roulante ou son lit, lors des absences de son épouse. Ainsi, il s'avère en réalité que le besoin de surveillance invoqué se confond avec le besoin d'aide pour se lever et se rendre aux toilettes, les déplacements dans l'appartement étant possible en chaise roulante. Le risque de déshydratation et d'escarres mentionné par le médecin traitant ne nécessite ni des soins médicaux ni une surveillance permanents, car il suffit de donner à boire et d'aider l'assuré à se retourner quelques fois par jour. S'agissant de la nécessité d'une surveillance pour un période limitée en raison d'une pneumonie, elle n'entre pas en considération.</w:t>
      </w:r>
    </w:p>
    <w:p>
      <w:r>
        <w:t>A/1245/2012 - 18/19 - Pour le surplus, personne n'est à l'abri d'une défaillance cardiaque ou cérébrale grave, imprévisible en l'absence d'une maladie diagnostiquée, en étant seul à domicile et incapable d'appeler de l'aide. Ainsi, l'assuré n'a pas besoin d'une surveillance personnelle au sens de la jurisprudence, de sorte qu'il ne remplit pas les conditions d'octroi d'une allocation d'impotence de degré grave et ce malgré l'aggravation de son état de santé et l'accroissement du besoin d'aide.</w:t>
      </w:r>
    </w:p>
    <w:p>
      <w:r>
        <w:rPr>
          <w:b/>
        </w:rPr>
        <w:t>E. 12</w:t>
      </w:r>
    </w:p>
    <w:p>
      <w:r>
        <w:t>S'agissant de la question formelle de l'autorité compétente, il s'avère que la décision litigieuse est à nouveau notifiée par l'OAI alors que c'est la caisse de compensation AVS qui est compétente, ce qui avait déjà motivé pour partie l'annulation de la décision du 5 janvier 2011 par arrêt du 29 mars 2011. En effet, le fait que l'OAI et la caisse cantonale de compensation soit regroupés au sein de l'OCAS (Office cantonal des assurances sociales) et utilisent un papier à en-tête "commun", ne dispense pas ces deux entités, juridiquement distinctes, de notifier les décisions pour lesquelles elles sont compétentes. D'ailleurs, la décision initiale de 2008 a été notifiée par la caisse de compensation. On peut admettre que l'OAI adresse à l'assuré une communication l'informant du maintien de son droit sans changement. Toutefois, si ce dernier exige la notification d'une décision sujette à recours, c'est alors la caisse de compensation, partie intimée à la procédure, qui doit la notifier, et qui peut ensuite, conformément à la loi, solliciter et produire le préavis de l'OAI sur les conditions de fond de l'octroi. Ainsi, la décision du 24 avril 2012 est annulée pour ce seul défaut formel, la cause étant renvoyée à l'intimé afin qu'il transmette son préavis à la caisse de compensation et que celle-ci notifie la décision à l'assuré. Compte tenu du fait que, pour le surplus, la décision est conforme au droit, il ne se justifie pas de constater sa nullité, pour des motifs de sécurité juridique.</w:t>
      </w:r>
    </w:p>
    <w:p>
      <w:r>
        <w:rPr>
          <w:b/>
        </w:rPr>
        <w:t>E. 13</w:t>
      </w:r>
    </w:p>
    <w:p>
      <w:r>
        <w:t>Le recours est donc partiellement admis, la décision est annulée et la cause renvoyée à l'intimé pour transmission à la caisse cantonale de compensation afin que celle-ci notifie une décision conforme. Le recourant n'obtenant que très partiellement gain de cause, sur la seule question formelle, une indemnité limitée à 1'000 fr. lui est allouée. De plus, la procédure en matière de contestations portant sur l’octroi ou le refus de prestations de l’AI est soumise à des frais de justice (art. 69 al. 1bis LAI). Toutefois, compte tenu du fait que le refus d'augmenter l'allocation est justifié et que la décision est annulée en raison de l'incompétence de l'autorité qui a rendu la décision, la cause n'étant pas soumise à émolument en matière AVS, la Cour renoncera à la perception d'un émolument.</w:t>
      </w:r>
    </w:p>
    <w:p>
      <w:r>
        <w:t>A/1245/2012 - 19/19 -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