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ATAS/1161/2011 vom 29. November 2011</w:t>
      </w:r>
    </w:p>
    <w:p>
      <w:r>
        <w:t>GE Cour de justice, 2011-11-29, FR</w:t>
      </w:r>
    </w:p>
    <w:p>
      <w:r>
        <w:rPr>
          <w:b/>
        </w:rPr>
        <w:t xml:space="preserve">Quelle: </w:t>
      </w:r>
      <w:r>
        <w:t>https://mcp.opencaselaw.ch/entscheid/ge_gerichte_ATAS_1161_2011</w:t>
      </w:r>
    </w:p>
    <w:p>
      <w:r>
        <w:t>FR: GE_GERICHTE ATAS/1161/2011 du 29 novembre 2011</w:t>
      </w:r>
    </w:p>
    <w:p>
      <w:r>
        <w:t>IT: GE_GERICHTE ATAS/1161/2011 del 29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A/3114/2011 - 3/4 -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À teneur de l’art. 1er al. 1 LPC, les dispositions de la LPGA s’appliquent aux prestations complémentaires, à moins que la LPC n’y déroge expressément (cf. également art. 1A LPCC).</w:t>
      </w:r>
    </w:p>
    <w:p>
      <w:r>
        <w:rPr>
          <w:b/>
        </w:rPr>
        <w:t>E. 3</w:t>
      </w:r>
    </w:p>
    <w:p>
      <w:r>
        <w:t>Aux termes des art. 56 al. 1 et 60 al. 1 LPGA, les décisions sur opposition peuvent faire l’objet d’un recours dans les trente jours dès la notification de la décision attaquée.</w:t>
      </w:r>
    </w:p>
    <w:p>
      <w:r>
        <w:rPr>
          <w:b/>
        </w:rPr>
        <w:t>E. 4</w:t>
      </w:r>
    </w:p>
    <w:p>
      <w:r>
        <w:t>Le recours interjeté par l'intéressé le 28 septembre 2011 contre la décision sur opposition du 19 août 2011, notifiée le 22 août 2011, l'a été hors de ce délai de trente jours. Il devrait dès lors être considéré comme tardif. Il y a toutefois lieu de constater que la décision litigieuse a été adressée à PRO SENECTUTE, alors que cette institution s'est bornée à rédiger un courrier pour l'intéressé, sans élection de domicile. Vu la notification de la décision à PRO SENECTUTE en l'absence d'élection de domicile, on ne saurait reprocher à l'intéressé de n'avoir pas été en mesure de respecter le délai de recours, ce d'autant moins qu'il n'a reçu de PRO SENECTUTE la copie de la décision qu'un mois plus tard. Le recours est dès lors recevable à la forme.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