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ATAS/1160/2011 vom 29. November 2011</w:t>
      </w:r>
    </w:p>
    <w:p>
      <w:r>
        <w:t>GE Cour de justice, 2011-11-29, FR</w:t>
      </w:r>
    </w:p>
    <w:p>
      <w:r>
        <w:rPr>
          <w:b/>
        </w:rPr>
        <w:t xml:space="preserve">Quelle: </w:t>
      </w:r>
      <w:r>
        <w:t>https://mcp.opencaselaw.ch/entscheid/ge_gerichte_ATAS_1160_2011</w:t>
      </w:r>
    </w:p>
    <w:p>
      <w:r>
        <w:t>FR: GE_GERICHTE ATAS/1160/2011 du 29 novembre 2011</w:t>
      </w:r>
    </w:p>
    <w:p>
      <w:r>
        <w:t>IT: GE_GERICHTE ATAS/1160/2011 del 29 novembre 2011</w:t>
      </w:r>
    </w:p>
    <w:p>
      <w:pPr>
        <w:pStyle w:val="Heading2"/>
      </w:pPr>
      <w:r>
        <w:t>Regeste</w:t>
      </w:r>
    </w:p>
    <w:p>
      <w:r>
        <w:t>Résumé: En matière de prévoyance professionnelle, les statuts d'une caisse d'assurance peuvent prévoir que le bénéficiaire d'une pension de retraite a droit, jusqu'à l'ouverture de son droit aux prestations de l'AVS, à une avance et que les montants ainsi versés sont remboursables soit viagèrement soit sur une période fixe. En l'espèce, les statuts prévoient que si l'assuré souhaite rembourser l'avance sur un terme fixe, il doit le faire savoir avant d'être au bénéfice de sa pension de retraite. A défaut, le remboursement se fait viagèrement. Dès lors et in casu, l'assuré ne pouvait manquer - en prenant simplement connaissance des statuts et partant en faisant preuve de la diligence nécessaire - se rendre compte immédiatement de ce que le remboursement de l'avance de frais serait soumis à un remboursement viager, à moins de déposer une demande par écrit contraire. Il est en effet peu plausible qu'un assuré ne se préoccupe pas de savoir sur quelle durée portera le remboursement qu'il devra assumer. En conséquence, l'assuré ne saurait se prévaloir d'avoir été insuffisamment renseigné ou d'avoir été renseigné de manière erronée et les conditions en matière de protection de bonne foi de l'administré ne sont pas réalisées.</w:t>
      </w:r>
    </w:p>
    <w:p>
      <w:pPr>
        <w:pStyle w:val="Heading2"/>
      </w:pPr>
      <w:r>
        <w:t>Erwägungen</w:t>
      </w:r>
    </w:p>
    <w:p>
      <w:r>
        <w:rPr>
          <w:b/>
        </w:rPr>
        <w:t>E. 10</w:t>
      </w:r>
    </w:p>
    <w:p>
      <w:r>
        <w:t>L'intéressé a à plusieurs reprises contesté le principe de ce "remboursement avance AVS" ou "rente viagère" ou "remboursement viager", la première fois, le 17 décembre 1997, à réception du courrier de la CAP lui confirmant la retenue viagère à compter du 1er décembre 1997. En 2004, il a demandé à s'acquitter de sa dette et, après avoir pris connaissance du montant de celle-ci, a notamment proposé à la CAP de lui céder en échange un meuble type console Louis XV, dont il estimait la valeur à 90'000 fr. ou 100'000 fr. Il a enfin considéré qu'il devait cesser de rembourser l'avance AVS au 30 novembre 2009, se fondant sur un contrat qu'il aurait conclu avec l'administrateur de la CAP de l'époque, selon lequel le remboursement était prévu sur douze ans.</w:t>
      </w:r>
    </w:p>
    <w:p>
      <w:r>
        <w:rPr>
          <w:b/>
        </w:rPr>
        <w:t>E. 11</w:t>
      </w:r>
    </w:p>
    <w:p>
      <w:r>
        <w:t>Force est toutefois de constater que ce contrat ne figure pas dans le dossier de l'intéressé. Alors que la CAP lui en a demandé expressément une copie, l'intéressé n'a du reste transmis aucun document. La Cour de céans constate par ailleurs qu'il n'en fait état pour la première fois que dans son courrier du 1er décembre 2009. Il n'en avait jamais fait mention auparavant, considérant même le 30 janvier 2001, qu'un remboursement viager de l'avance AVS sur dix ans constituerait un maximum. Quoi qu'il en soit, on ne comprend pas pour quelle raison il aurait conclu un contrat avec l'administrateur de la CAP de l'époque, puisqu'il lui aurait suffi de déposer une demande par écrit pour solliciter un remboursement sur douze ans de l'avance AVS, ce qu'il n'a pas fait.</w:t>
      </w:r>
    </w:p>
    <w:p>
      <w:r>
        <w:rPr>
          <w:b/>
        </w:rPr>
        <w:t>E. 12</w:t>
      </w:r>
    </w:p>
    <w:p>
      <w:r>
        <w:t>L'intéressé allègue implicitement avoir été mal renseigné par la CAP. A la lecture des nombreux courriers adressés par l'intéressé à la CAP au cours des années, il apparaît en effet qu'il n'avait pas compris qu'il devrait rembourser l'avance AVS sur le mode d'un remboursement viager. La note manuscrite figurant sur le courrier du 22 décembre 1997 de la CAP confirme, si besoin était, que</w:t>
      </w:r>
    </w:p>
    <w:p>
      <w:r>
        <w:t>A/2861/2011 - 12/15 - l'intéressé n'avait pas réalisé qu'il devrait rembourser l'avance AVS jusqu'à son décès.</w:t>
      </w:r>
    </w:p>
    <w:p>
      <w:r>
        <w:rPr>
          <w:b/>
        </w:rPr>
        <w:t>E. 13</w:t>
      </w:r>
    </w:p>
    <w:p>
      <w:r>
        <w:t>Selon la jurisprudence, l'administration ne peut pas exiger la restitution de prestations indues lorsque sont remplies les conditions posées par la jurisprudence relative au droit constitutionnel à la protection de la bonne foi, cette question devant être clairement distinguée de celle de la remise de l'obligation de restituer (ATFA C 80/05 du 3 février 2006; ATF 116 V 301 sv. consid. 4c et 4d). En effet, si un renseignement erroné donné par l'administration peut, à certaines conditions, conduire au maintien d'un avantage contraire au droit, conformément à l'art. 9 Cst. (cf. ATF 116 V 298 consid. 3), il en va de même, a fortiori, d'une décision erronée, de sorte que les règles relatives à la reconsidération d'une décision entrée en force n'excluent pas celles découlant du droit à la protection de la bonne foi (cf. ATF 114 Ia 106ss consid. 2a, 214 consid. 3b, 113 V 70 consid. 2 et les références; DTA 1999 n°40 p. 237 consid. 3a; RAMA 1988 no K 768 p. 207).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w:t>
      </w:r>
    </w:p>
    <w:p>
      <w:r>
        <w:t>A/2861/2011 - 13/15 - Le droit à la protection de la bonne foi suppose également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w:t>
      </w:r>
    </w:p>
    <w:p>
      <w:r>
        <w:rPr>
          <w:b/>
        </w:rPr>
        <w:t>E. 14</w:t>
      </w:r>
    </w:p>
    <w:p>
      <w:r>
        <w:t>En l'espèce, il est difficile, voire impossible, de déterminer quels sont précisément les renseignements qui ont été donnés à l'intéressé au moment où il a été mis au bénéfice de sa pension de retraite CAP. Il résulte d'un courrier du 27 juillet 1992 adressé par la CAP à l'intéressé qu'un responsable de l'Office du personnel de la Ville de Genève le recevrait, afin de lui fournir tous les renseignements nécessaires. On ignore si cet entretien a effectivement eu lieu, et le cas échéant, si l'intéressé y a reçu des explications utiles concernant en particulier l'avance AVS et son remboursement. Il y a lieu de relever que sur les décomptes de pension valables dès le 1er janvier 1993, établis par la CAP le 28 octobre 1992, est uniquement indiqué le terme de "remboursement avance AVS". Aucune proposition de pension, document sur lequel aurait pu notamment figurer des explications sur le remboursement, n'a été communiquée à l'intéressé, la CAP n'en préparant une que sur demande. Ce n'est que dans son courrier du 15 décembre 1997 que la CAP fait expressément mention d' "une retenue viagère" dès le mois suivant le 65ème anniversaire de l'intéressé, soit dès le 1er décembre 1997. La question de savoir si la CAP a ou non donné à l'intéressé des informations lacunaires s'agissant du remboursement de l'avance AVS peut toutefois être laissée ouverte dans la mesure où la troisième condition, dont la réalisation est nécessaire dans le cadre de l'examen du droit à la protection de la bonne foi ne peut être considérée comme remplie. Il apparaît en effet que l'intéressé ne pouvait manquer, en faisant preuve de la diligence dont tout homme raisonnable doit faire preuve dans des circonstances semblables, en prenant par exemple connaissance des statuts, de se rendre compte immédiatement de ce que le remboursement de l'avance AVS serait soumis à un remboursement viager, à moins de déposer une demande par écrit contraire. Il lui appartenait en cas de doute de se renseigner. Il paraît à cet égard peu plausible qu'un assuré ne se préoccupe pas de savoir sur quelle durée portera le remboursement qu'il devra assumer. On ne saurait par</w:t>
      </w:r>
    </w:p>
    <w:p>
      <w:r>
        <w:t>A/2861/2011 - 14/15 - ailleurs soutenir, sans autre, que l'intéressé aurait, s'il avait su qu'il avait le choix, au moment où il a été mis au bénéfice de sa pension de retraite CAP, entre un remboursement sur 12 ans et un remboursement viager, nécessairement opté pour la première solution, dans la mesure où le montant à rembourser mensuellement aurait été bien plus élevé dans ce cas. En l'occurrence, les conditions en matière de protection de la bonne foi de l'administré ne sont manifestement pas réalisées. En particulier, il n'a pas été établi, au degré de vraisemblance requis par la jurisprudence, que la CAP ait fourni à l'intéressé aucun renseignement erroné qui permettrait d'exiger d'elle qu'elle reconnaisse à celui-ci le droit de mettre un terme à son obligation de rembourser l'avance AVS au 30 novembre 2009. La demande est dès lors rejetée.</w:t>
      </w:r>
    </w:p>
    <w:p>
      <w:r>
        <w:t>A/2861/2011 - 15/15 -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