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ATAS/1159/2020 vom 1. Dezember 2020</w:t>
      </w:r>
    </w:p>
    <w:p>
      <w:r>
        <w:t>GE Cour de justice, 2020-12-01, FR</w:t>
      </w:r>
    </w:p>
    <w:p>
      <w:r>
        <w:rPr>
          <w:b/>
        </w:rPr>
        <w:t xml:space="preserve">Quelle: </w:t>
      </w:r>
      <w:r>
        <w:t>https://mcp.opencaselaw.ch/entscheid/ge_gerichte_ATAS_1159_2020</w:t>
      </w:r>
    </w:p>
    <w:p>
      <w:r>
        <w:t>FR: GE_GERICHTE ATAS/1159/2020 du 1 décembre 2020</w:t>
      </w:r>
    </w:p>
    <w:p>
      <w:r>
        <w:t>IT: GE_GERICHTE ATAS/1159/2020 del 1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de la recourante aux prestations de l’assurance-invalidité.</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w:t>
      </w:r>
    </w:p>
    <w:p>
      <w:r>
        <w:t>A/3372/2019 - 14/25 -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Dans sa jurisprudence récente (ATF 143 V 409 consid. 4.5 et ATF 143 V 418 consid. 6 et 7), le Tribunal fédéral a modifié sa pratique lors de l’examen du droit à</w:t>
      </w:r>
    </w:p>
    <w:p>
      <w:r>
        <w:t>A/3372/2019 - 15/25 -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standards qui doivent être pris en considération en règle générale peuvent être classés selon leurs caractéristiques communes : - catégorie « Degré de gravité fonctionnel » (ATF 141 V 281 consid. 4.3) ; - complexe « Atteinte à la santé » (consid. 4.3.1) ; - expression des éléments pertinents pour le diagnostic (consid. 4.3.1.1), succès du traitement et de la réadaptation ou résistance à cet égard (consid. 4.3.1.2), comorbidités (consid. 4.3.1.3) ; - complexe « Personnalité » (diagnostic de la personnalité, ressources personnelles ; consid. 4.3.2) ; - complexe « Contexte social » (consid. 4.3.3) ; - catégorie « Cohérence » (aspects du comportement ; consid. 4.4) ; -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w:t>
      </w:r>
    </w:p>
    <w:p>
      <w:r>
        <w:t>A/3372/2019 - 16/25 -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w:t>
      </w:r>
    </w:p>
    <w:p>
      <w:r>
        <w:t>A/3372/2019 - 17/25 -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A/3372/2019 - 18/25 -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w:t>
      </w:r>
    </w:p>
    <w:p>
      <w:r>
        <w:t>A/3372/2019 - 19/25 -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5</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A/3372/2019 - 20/25 -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A/3372/2019 - 21/25 -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En ce qui concerne les facteurs psychosociaux ou socioculturels et leur rôle en matière d’invalidité, ils ne figurent pas au nombre des atteintes à la santé susceptible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w:t>
      </w:r>
    </w:p>
    <w:p>
      <w:r>
        <w:t>A/3372/2019 - 22/25 - mesure où ils sont étroitement liés à l’objet du litige et de nature à influencer l’appréciation au moment où la décision attaquée a été rendue (ATF 99 V 102 et les arrêts cités ; arrêt du Tribunal fédéral des assurances I 321/04 du 18 juillet 2005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8</w:t>
      </w:r>
    </w:p>
    <w:p>
      <w:r>
        <w:t>En l’espèce, au vu des importantes discordances entre le fonctionnement satisfaisant de la recourante et l’intensité des symptômes et limitations qu’elle alléguait, l’intimé, sur proposition du SMR, a mandaté deux experts, un psychiatre et un rhumatologue, pour procéder à une expertise bi-disciplinaire. La recourante a ainsi fait l’objet d’un examen clinique par chacun des deux experts. Les rapports des experts comportent une anamnèse familiale, psycho-sociale et professionnelle complète et détaillée, de même qu’un résumé des plaintes, des prises en charge médicales et l’exposé du status clinique. Les experts ont procédé à une appréciation et discussion du cas en se fondant sur un dossier complet. Leurs conclusions, exemptes de contradictions, sont motivées, claires et convaincantes, notamment quant aux raisons pour lesquelles l’expert-psychiatre s’est écarté de l’avis médical du psychiatre traitant de la recourante. Il s’ensuit que l’expertise bi-disciplinaire remplit tous les réquisits permettant de lui attribuer pleine valeur probante, de sorte que la chambre de céans n’a aucun motif d’ordonner une autre expertise. Elle appréciera dès lors l’ensemble des preuves sans instruction complémentaire.</w:t>
      </w:r>
    </w:p>
    <w:p>
      <w:r>
        <w:t>A/3372/2019 - 23/25 -</w:t>
      </w:r>
    </w:p>
    <w:p>
      <w:r>
        <w:rPr>
          <w:b/>
        </w:rPr>
        <w:t>E. 9</w:t>
      </w:r>
    </w:p>
    <w:p>
      <w:r>
        <w:t>S’agissant d’abord du diagnostic avec répercussion sur la capacité de travail, l’expert-rhumatologue a retenu uniquement des lombopygialgies récurrentes sans signe radiculaire irritatif ou déficitaire – minimes troubles facettaires postérieurs L5-S1. Il n’y avait pas de signe parlant en faveur d’une atteinte inflammatoire ou systémique. Le bilan radiographique était rassurant. Il mettait en évidence des minimes troubles dégénératifs facettaires postérieures lombaires peu significatifs. La thérapie (physiothérapie et médicamenteuse) était conduite dans les règles de l’art, sans interruption ni problème de coopération. Les possibilités thérapeutiques n’étaient pas épuisées. La maladie rhumatologique semblait stabilisée. Quant à la cohérence et la plausibilité des plaintes, du point de vue rhumatologique, le socle somatique ne permettait pas d’expliquer l’ampleur de la symptomatologie douloureuse, laquelle était en lien avec une nette diminution du seuil de déclenchement de la douleur avec douleurs intentionnelles multiples fibromyalgiformes. Sa capacité de travail dans son ancien travail de bureau, activité adaptée, était entière. L’expert retenait une diminution de performance de 20 % au vu de la longue inactivité professionnelle. Ainsi d’un point de vue rhumatologique, la recourante jouissait d’une pleine capacité de travail. L’expert-psychiatre n’a pas retenu de psychopathologie incapacitante. Les diagnostics d’épisode dépressif majeur vs trouble de l’adaptation premier épisode en rémission ou subclinique (F300.81), d’éventuel trouble de l’anxiété généralisée en rémission (F41.1), d’éventuel trouble à symptomatologie somatique chronique, subclinique à léger (206.25), de personnalité à traits limites non décompensés (F32.4) n’avaient pas d’influence sur la capacité de travail. Il a relevé l’absence de toute limitation fonctionnelle du point de vue psychiatrique. La capacité de travail était de son point de vue également entière. Concernant, ensuite les ressources personnelles de l’assurée et le contexte familial et social, les experts ont constaté que l’assurée gérait son ménage de manière indépendante, s’occupait de sa fille, était capable de sortir de chez elle. Elle n’était pas recluse. Ses relations sociales étaient préservées avec son entourage à l’instar de certaines activités de loisirs. Des divergences existent entre les limitations alléguées par la recourante et les observations faites par les deux experts et ses propres déclarations. Les allégations de nombreuses atteintes sont subjectives et en totale discordance avec le comportement et le quotidien de la recourante. Cette dernière n’a relaté à aucun des experts l’existence de limitations dans ses tâches quotidiennes dues à ses atteintes somatiques ou psychiques. Elle a au contraire décrit des tâches quotidiennes qu’elle gérait de manière indépendante, ses interactions sociales et ses loisirs. Alors qu’elle a ensuite minimisé ces éléments sous la plume de son psychiatre traitant. Reprenant les griefs de sa patiente contre l’expertise, le psychiatre traitant a évoqué pour cette dernière des limitations dans son quotidien sans les relier à une cause somatique ou psychique précise, à l’exception de la mention d’un « état d’épuisement quasi constant l’empêchant de vivre un quotidien agréable ». Le psychiatre traitant</w:t>
      </w:r>
    </w:p>
    <w:p>
      <w:r>
        <w:t>A/3372/2019 - 24/25 - dénonce en outre une erreur dans le diagnostic de l’expert quant au trouble de la personnalité à traits limites auquel l’expert a ajouté la référence F32.4. Les prises de position du psychiatre traitant - lequel n’est pas d’accord avec l’expertise - ne contiennent pas d’éléments qui auraient été omis par l’expert. Son appréciation divergente quant à la capacité de travail de la recourante ne permet pas de remettre en cause l’expertise, neutre, ordonnée par l’OAI. L’erreur invoquée quant au code de référence du trouble de la personnalité ne crée pas de doute sur le diagnostic posé et expliqué dans le rapport par l’expert. Cela apparaît en outre sans pertinence dans la mesure où tant le diagnostic du psychiatre traitant (personnalité anankastique) ou de l’expert (personnalité à traits limites) n’avait pas de répercussion selon ces derniers sur la capacité de travail de la recourante. Les répercussions des atteintes psychiques de la recourante sur son quotidien et sa capacité de travail sont contradictoires avec les constatations de l’expert, lequel a exposé les raisons de se départir de l’avis du médecin traitant avec détails. L’appréciation de la valeur de l’expertise rhumatologique ne relève pas du domaine de compétence du psychiatre traitant de la recourante. Pour l’ensemble de ces motifs, les avis médicaux des médecins de la recourante ne l’emportent pas sur l’expertise bi-disciplinaire qui apparaît convaincante et retient des diagnostics et une absence de limitation en adéquation avec la situation réelle de la recourante et non avec ses seules plaintes. La preuve d’une limitation de la capacité de travail invalidante n’est dès lors pas rapportée.</w:t>
      </w:r>
    </w:p>
    <w:p>
      <w:r>
        <w:rPr>
          <w:b/>
        </w:rPr>
        <w:t>E. 10</w:t>
      </w:r>
    </w:p>
    <w:p>
      <w:r>
        <w:t>Au vu de ce qui précède, conformément à l’expertise bi-disciplinaire, la chambre de céans retient que la recourante ne présente pas d’atteinte à la santé invalidante et que sa capacité de travail est totale dans toute activité, sans diminution de rendement due aux atteintes somatiques ou psychiques.</w:t>
      </w:r>
    </w:p>
    <w:p>
      <w:r>
        <w:rPr>
          <w:b/>
        </w:rPr>
        <w:t>E. 11</w:t>
      </w:r>
    </w:p>
    <w:p>
      <w:r>
        <w:t>Le recours, mal fondé, est rejeté.</w:t>
      </w:r>
    </w:p>
    <w:p>
      <w:r>
        <w:rPr>
          <w:b/>
        </w:rPr>
        <w:t>E. 12</w:t>
      </w:r>
    </w:p>
    <w:p>
      <w:r>
        <w:t>La recourante plaidant au bénéfice de l’assistance juridique, il est renoncé à percevoir l’émolument de justice prévu à l’art. 69 al. 1bis LAI (art. 13 al. 1 du règlement sur les frais, émoluments et indemnités en procédure administrative du 30 juillet 1986 [RFPA - E 5 10.03]). * * * * * *</w:t>
      </w:r>
    </w:p>
    <w:p>
      <w:r>
        <w:t>A/3372/2019 - 25/25 -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