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ATAS/1157/2018 vom 11. Dezember 2018</w:t>
      </w:r>
    </w:p>
    <w:p>
      <w:r>
        <w:t>GE Cour de justice, 2018-12-11, FR</w:t>
      </w:r>
    </w:p>
    <w:p>
      <w:r>
        <w:rPr>
          <w:b/>
        </w:rPr>
        <w:t xml:space="preserve">Quelle: </w:t>
      </w:r>
      <w:r>
        <w:t>https://mcp.opencaselaw.ch/entscheid/ge_gerichte_ATAS_1157_2018</w:t>
      </w:r>
    </w:p>
    <w:p>
      <w:r>
        <w:t>FR: GE_GERICHTE ATAS/1157/2018 du 11 décembre 2018</w:t>
      </w:r>
    </w:p>
    <w:p>
      <w:r>
        <w:t>IT: GE_GERICHTE ATAS/1157/2018 del 11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60 al. 1 LPGA et art. 62 al. 1 let. a de la loi sur la procédure administrative du 12 septembre 1985 [LPA-GE - E 5 10]). Interjeté dans la forme et le délai prévus par la loi, le recours est ainsi recevable (art. 56 ss LPGA et 62 ss LPA-GE).</w:t>
      </w:r>
    </w:p>
    <w:p>
      <w:r>
        <w:rPr>
          <w:b/>
        </w:rPr>
        <w:t>E. 3</w:t>
      </w:r>
    </w:p>
    <w:p>
      <w:r>
        <w:t>Le litige porte sur le droit de l’intéressé à des prestations AI.</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A/205/2018 - 6/13 -</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Dans sa jurisprudence récente (ATF 143 V 409 consid. 4.5 et ATF 143 V 418 consid. 6 et 7), le Tribunal fédéral a modifié sa pratique lors de l'examen du droit à une rente d'invalidité en cas de troubles psychiques. La jurisprudence développée</w:t>
      </w:r>
    </w:p>
    <w:p>
      <w:r>
        <w:t>A/205/2018 - 7/13 -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Selon la jurisprudence rendue jusque-là les dépressions légères à moyennes n'étaient considérées comme invalidantes que lorsqu'on pouvait apporter la preuve qu'elles étaient résistantes à la thérapie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7</w:t>
      </w:r>
    </w:p>
    <w:p>
      <w:r>
        <w:t>Pour pouvoir calculer le degré d’invalidité, l’administration (ou le juge, s’il y a eu un recours) a besoin de documents qu’un médecin, éventuellement d’autres</w:t>
      </w:r>
    </w:p>
    <w:p>
      <w:r>
        <w:t>A/205/2018 - 8/13 -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w:t>
      </w:r>
    </w:p>
    <w:p>
      <w:r>
        <w:t>A/205/2018 - 9/13 -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A/205/2018 - 10/13 -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l’espèce, l’OAI s’est essentiellement fondé sur l’expertise réalisée par les Drs B______ et C______ de la clinique Corela le 21 mars 2016, sur mandat de l’assureur LAA, selon laquelle la capacité de travail est de 100% avec une diminution de rendement de 20%, pour nier le droit de l’assurée à des prestations de l’AI.</w:t>
      </w:r>
    </w:p>
    <w:p>
      <w:r>
        <w:rPr>
          <w:b/>
        </w:rPr>
        <w:t>E. 12</w:t>
      </w:r>
    </w:p>
    <w:p>
      <w:r>
        <w:t>S’agissant d’une expertise de la clinique Corela, il y a lieu de relever que, par arrêté du 25 juin 2015, le Département de l’emploi, des affaires sociales et de la santé de la République et canton de Genève lui a retiré l’autorisation d’exploiter une institution de santé pour une durée de trois mois. Ce retrait a été confirmé par le Tribunal fédéral pour les départements « psychiatrie » et « expertise » de cet établissement (ATF 2C_32/17 ; cf. également publication dans la Feuille d’avis officielle de la République et canton de Genève du 21 février 2018). Dans son arrêt 2C_32/2017 cité supra, le Tribunal fédéral a retenu que les expertises pratiquées auprès du "département expertise" de la Clinique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des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plus récent (9F_5/2018 du 16 août 2018), le Tribunal fédéral a répété qu’en droit des assurances sociales, une évaluation médicale effectuée dans les</w:t>
      </w:r>
    </w:p>
    <w:p>
      <w:r>
        <w:t>A/205/2018 - 11/13 -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 atteinte à la confiance que les personnes assurées et les organes de l'assurance- 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w:t>
      </w:r>
    </w:p>
    <w:p>
      <w:r>
        <w:rPr>
          <w:b/>
        </w:rPr>
        <w:t>E. 13</w:t>
      </w:r>
    </w:p>
    <w:p>
      <w:r>
        <w:t>En l’occurrence, l’expertise rendue le 21 mars 2016 au sein de la clinique Corela, sur laquelle s’est fondé l’OAI a été réalisée à une époque où il a été établi que le responsable médical du « département expertise » modifiait illicitement le contenu de rapports. Force est en conséquence de constater, au vu de l’arrêt du Tribunal fédéral du</w:t>
      </w:r>
    </w:p>
    <w:p>
      <w:r>
        <w:rPr>
          <w:b/>
        </w:rPr>
        <w:t>E. 16</w:t>
      </w:r>
    </w:p>
    <w:p>
      <w:r>
        <w:t>août 2018 plus particulièrement, que l’expertise des Drs C______ et B______ ne saurait servir de fondement à l’examen du droit aux prestations AI de l’assuré. Il ressort en effet de cet arrêt que, quoi qu’en dise l’OAI, aucune valeur probante ne peut être reconnue à l’expertise à laquelle il n’est plus possible d’accorder pleine confiance. En outre, le dossier ne contient aucun autre document médical suffisamment étayé pour permettre de se déterminer sur les atteintes de l’assuré et leur impact sur sa capacité de travail. 14. D'après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w:t>
      </w:r>
    </w:p>
    <w:p>
      <w:r>
        <w:t>A/205/2018 - 12/13 - principe inquisitoire. Il n’en va autrement que lorsqu’un tel renvoi constitue en soi un déni de justice ; cela peut être le cas notamment lorsque, en raison des circonstances, un simple mandat d'expertise judiciaire ou une mesure d'instruction ponctuelle édictée par le juge suffirait à élucider l'état de fait, ou qu'un renvoi apparaîtrait disproportionné (cf. ATF 122 V 163 consid. 1d, RAMA 1993 n° U 170 p. 136 et la critique de G. Aubert parue in SJ 1993 p. 560). Tel n’est pas le cas en l’occurrence. On relèvera à cet égard que le Tribunal fédéral, dans son arrêt mentionné supra, a renvoyé la cause pour instruction complémentaire à l’autorité administrative et non au tribunal cantonal. Dans la mesure où l’instruction doit être reprise quasiment intégralement, on ne saurait en effet priver l’assuré d’un degré de juridiction. 15. Il s'impose dès lors d'annuler la décision litigieuse et de renvoyer la cause à l’OAI pour mise en œuvre d’une nouvelle expertise pluridisciplinaire et nouvelle décision. Le recours est en conséquence partiellement admis et la cause renvoyée à l’OAI pour instruction complémentaire et nouvelle décision.</w:t>
      </w:r>
    </w:p>
    <w:p>
      <w:r>
        <w:t>***</w:t>
      </w:r>
    </w:p>
    <w:p>
      <w:r>
        <w:t>A/205/2018 - 13/13 -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