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ATAS/1157/2017 vom 18. Dezember 2017</w:t>
      </w:r>
    </w:p>
    <w:p>
      <w:r>
        <w:t>GE Cour de justice, 2017-12-18, FR</w:t>
      </w:r>
    </w:p>
    <w:p>
      <w:r>
        <w:rPr>
          <w:b/>
        </w:rPr>
        <w:t xml:space="preserve">Quelle: </w:t>
      </w:r>
      <w:r>
        <w:t>https://mcp.opencaselaw.ch/entscheid/ge_gerichte_ATAS_1157_2017</w:t>
      </w:r>
    </w:p>
    <w:p>
      <w:r>
        <w:t>FR: GE_GERICHTE ATAS/1157/2017 du 18 décembre 2017</w:t>
      </w:r>
    </w:p>
    <w:p>
      <w:r>
        <w:t>IT: GE_GERICHTE ATAS/1157/2017 del 18 dicembre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et art. 62 al. 1 let. a de la loi sur la procédure administrative du 12 septembre 1985 [LPA-GE - E 5 10]). D'après l'art. 62 al. 3 LPA-GE, le délai de recours court dès le lendemain de la notification de la décision. Lorsque le délai échoit un samedi, un dimanche ou un jour férié selon le droit fédéral ou cantonal, son terme est reporté au premier jour ouvrable qui suit (art. 38 al. 3, 1ère phrase LPGA applicable par renvoi de l’art. 60 al. 2 LPGA; cf. également art. 17 al. 3 LPA-GE). En l'espèce, le recours a été interjeté le 10 juillet 2017 contre la décision du 7 juin 2017 reçue le lendemain, soit le dernier jour du délai reporté au premier jour ouvrable suivant. Interjeté dans la forme et le délai prévus par la loi, le recours est recevable (art. 56 ss LPGA et 89B LPA-GE).</w:t>
      </w:r>
    </w:p>
    <w:p>
      <w:r>
        <w:rPr>
          <w:b/>
        </w:rPr>
        <w:t>E. 5</w:t>
      </w:r>
    </w:p>
    <w:p>
      <w:r>
        <w:t>L’objet du litige dans la procédure administrative subséquente est le rapport juridique qui – dans le cadre de l’objet de la contestation déterminé par la décision</w:t>
      </w:r>
    </w:p>
    <w:p>
      <w:r>
        <w:t>A/2979/2017 - 14/26 - – constitue, d’après les conclusions du recours, l’objet de la décision effectivement attaqué (ATF 131 V 164 consid. 2.1;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En l’espèce, dans sa décision du 6 avril 2017 et sa décision sur opposition du 7 juin 2017 – qui déterminent l’objet de la contestation –, l’intimée a nié l’existence d’un lien de causalité naturelle entre le coup de poing reçu au visage par le recourant, le</w:t>
      </w:r>
    </w:p>
    <w:p>
      <w:r>
        <w:rPr>
          <w:b/>
        </w:rPr>
        <w:t>E. 8</w:t>
      </w:r>
    </w:p>
    <w:p>
      <w:r>
        <w:t>En l’espèce, dans sa décision du 6 avril 2017, l’intimée a refusé la prise en charge des troubles olfactifs et cognitifs depuis l’émission de ses réserves le 24 juillet 2015 au motif que, selon le dossier médical, aucun lien de causalité certain ou du moins probable n’existait entre lesdits trouble et l’événement du 8 mars 2014. Une telle motivation est certes succincte en tant qu’elle est très générale et ne précise pas sur quelles pièces en particulier elle se base pour asseoir son refus de prise en charge, ce d’autant plus que l’intimée n’a pas transmis au recourant une copie du rapport d’expertise du Dr N______. Toutefois, en vertu de l’art. 47 al. 2 LPGA, le recourant pouvait demander à l’intimée de consulter son dossier afin de pouvoir former opposition en toute connaissance de cause, ce qu’il n’a pas fait. Etant donné que le recourant a été en mesure de former opposition et de contester l’absence de lien de causalité entre l’accident et les troubles olfactifs ainsi que cognitifs, force est de constater que l’intimée a rempli son devoir minimum de motivation. Le recourant invoque également la garantie de la double instance pour justifier la violation de son droit d’être entendu. Une telle garantie doit être mise en relation avec le droit d'être entendu avec lequel elle se confond, dans une certaine mesure tout au moins; elle n'est pas, en tant que telle dans le domaine du droit administratif, une garantie générale de procédure ou un droit constitutionnel des citoyens (arrêt du Tribunal fédéral des assurances I 431/02 du 8 novembre 2002 consid. 3.1). Or, dans la mesure où une telle garantie n’est pas un droit constitutionnel, ni une garantie générale de procédure, elle ne se distingue pas des critères retenus pour apprécier la violation du droit d’être entendu, déjà examinés ci-dessus. Au demeurant, la chambre de céans ne discerne pas en quoi le recourant a été privé d’une double instance puisque les griefs qu’il a formulés dans son opposition ont pu être examinés dans la décision sur opposition. Par conséquent, sous l'angle de l'obligation de motivation, le grief de violation du droit d'être entendu se révèle mal fondé.</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A/2979/2017 - 18/26 -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A/2979/2017 - 19/26 - sur la base d’un dossier peut se voir reconnaître une pleine valeur probante (arrêt du Tribunal fédéral 8C_681/2011 du 27 juin 2012 consid. 4.1 et les références). f)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second lieu, il convient d’examiner la valeur probante des rapports médicaux sur lesquels l’intimée s’est basée pour refuser les prestations en lien avec les troubles olfactifs et cognitifs, à savoir le rapport d’expertise du Dr N______ du 31 octobre 2016 et l’appréciation neurologique du Dr R______ du 23 janvier 2017, ainsi que l’évaluation neuropsychologique de Madame O______, étant rappelé que les troubles visuels ne font pas l’objet de la présente procédure, de sorte que la valeur probante des rapports du Dr P______ et des ophtalmologues de l’intimée ne sera pas examinée. En l’espèce, dans son rapport d’expertise du 31 octobre 2016, le Dr N______ diagnostique un status après traumatisme crânien simple sans commotion cérébrale, des troubles olfactifs d’origine peu claire, des troubles visuels d’origine fonctionnelle, un état de stress chronique et un status après contusion fronto-basale. Il conclut, d’un point de vue ophtalmologique et neuropsychologique, à l’absence de séquelles objectives de l’accident du 8 mars 2014. S’agissant de l’atteinte fronto- basale retrouvée à l’IRM qu’il n’a pas vue personnellement, il retient qu’elle n’a</w:t>
      </w:r>
    </w:p>
    <w:p>
      <w:r>
        <w:t>A/2979/2017 - 20/26 - aucune répercussion neuropsychologique au vu de l’examen de Madame O______. Il estime très surprenant de trouver une contusion fronto-basale, sans aucune évidence de commotion cérébrale ou de perte de connaissance. S’agissant des troubles olfactifs, il est d’avis qu’il existe un doute quant au caractère organique de ce déficit au motif que le recourant ne sent ni les substances irritatives qui stimulent le trijumeau (cinquième nerf crânien), ni les agents olfactifs habituels qui sont sous le contrôle du premier nerf crânien, alors que les autres contingents sensitifs du nerf trijumeau (sensibilité faciale, buccale ou cornéenne) sont tous normaux, soit une présentation qui fait hautement suspecter une atteinte fonctionnelle. Il conclut également à l’absence d’incapacité de travail sur le plan neurologique. Il précise que cette expertise doit être présentée au Dr D______ afin que, sur la base de son examen clinique, il se détermine clairement quant à l’organicité de ses constatations, notamment s’agissant de l’atteinte olfactive et trigéminale, de la corrélation de cette dernière avec les données neuroradiologiques, ainsi que sur la capacité de travail et les limitations engendrées par ce déficit. Il ajoute qu’il convient également de s’assurer que les lésions neuroradiologiques sont bien en relation avec l’accident du 8 mars 2014. Dans son rapport d’expertise, le Dr N______ ne prend pas une position définitive quant au lien de causalité naturelle entre l’atteinte olfactive et l’accident du 8 mars 2014 puisque, tout en suspectant fortement une atteinte fonctionnelle, il demande que son expertise soit soumise au Dr D______ afin que ce dernier procède à un examen clinique du recourant et se détermine sur l’organicité des troubles olfactifs, sur la capacité de travail et les limitations engendrées par ce déficit. Par conséquent, l’expertise ne repose pas sur des investigations complètes puisqu’il manque des éclaircissements sur le plan ORL qui sont renvoyés au Dr D______ et que l’avis de celui-ci n’a pas été sollicité par l’intimé. Aussi, faute de position définitive, les résultats de l’expertise ne sont pas convaincants. Par ailleurs, le Dr N______ n’a pas analysé personnellement l’IRM révélant l’atteinte fronto-basale, de sorte que son appréciation à ce sujet n’est pas relevante. De plus, ses conclusions sont en réalité contredites par les explications du Dr D______, de sorte que les résultats de l’expertise sont peu convaincants. En effet, dans son rapport du 17 juillet 2014, le Dr D______ met en évidence sur la base de l’IRM cérébrale du 11 juillet 2014, une contusion fronto-basale droite et une contusion au niveau du lobe temporal, ainsi qu’une fracture du nez révélée par le CT du massif facial daté du 8 mars 2014. Il expose que le recourant présente une anosmie totale survenue après le traumatisme crânien. Il précise que la structure fronto-basale et le lobe temporal sont fortement impliqués dans l’olfaction et que ces contusions suggèrent que, lors du traumatisme, l’énergie absorbée par le cerveau a été plus importante que ce que les circonstances du traumatisme crânien, à savoir absence tant de perte de connaissance que de chute occipitale et de fracture de la voûte crânienne, permettaient de suspecter, ce qui corrobore bien la plainte d’une anosmie. Lors de son audition par le Ministère public du 10 février 2016, il explique qu’en cas de perte d’odorat, on examine d’abord la cavité nasale. Dans le cas du recourant, cet</w:t>
      </w:r>
    </w:p>
    <w:p>
      <w:r>
        <w:t>A/2979/2017 - 21/26 - examen n’a pas révélé de cause périphérique et afin d’avoir une explication à cette perte d’odorat, il a fait procéder à une IRM. Cet examen a mis en évidence des signes traumatiques aux endroits où on les attend en cas de perte d’odorat. La contusion fronto-basale est typique de ce qu’on peut constater dans des cas de perte d’odorat traumatique. Cette contusion est classiquement observée chez des personnes qui ont subi un fort traumatisme. Il constate que le traumatisme a dégagé suffisamment d’énergie pour casser le nez et causer la contusion fronto-basale. Dès lors, au vu de ces divers défauts, l’expertise du Dr N______ n’a pas de valeur probante. Dans son évaluation neurologique du 23 janvier 2017, le Dr R______ conclut à l’absence de lien de causalité entre l’accident du 8 mars 2014 et les troubles cognitifs ainsi qu’olfactifs. D’un point de vue neurologique, il retient également l’absence de limitation de la capacité de travail raisonnablement exigible et l’absence d’atteinte à l’intégrité. Il suit l’avis du Dr N______ selon lequel la constellation clinique et radiologique évoque un caractère non organique des troubles olfactifs au regard du traumatisme mineur, de l’absence d’évocation clinique d’un traumatisme crânien et de la lésion frontale droite difficilement conciliable avec une anosmie totale. Dans la mesure où le Dr R______ se borne à confirmer les conclusions du Dr N______ en reprenant strictement les mêmes arguments que ce dernier, son rapport n’a pas davantage de valeur probante pour les mêmes motifs, ce d’autant plus que l’évocation par le Dr N______ d’un caractère non organique est une hypothèse qui doit encore être vérifiée par un examen clinique du recourant. En effet, au stade actuel des investigations médicales, il existe des incertitudes quant à la situation médicale, dans la mesure où lesdites investigations ne permettent pas de statuer en pleine connaissance de cause sur la nature et l’origine des troubles olfactifs. Par ailleurs, son évaluation repose sur l’hypothèse d’un traumatisme mineur, alors que le Dr D______ explique que l’énergie avec laquelle le coup a été porté justifie d’admettre que le traumatisme crânien a été en réalité plus important que ce que les circonstances de l’accident permettent de penser. De plus, lors de son audition du 10 février 2016 par le Ministère public, le Dr J______ relève également que l’hématome en monocle évoque un coup porté avec une énergie considérable. Par conséquent, l’hypothèse sur laquelle repose les conclusions du Dr R______ n’est pas établie au degré de la vraisemblance prépondérante. Dans son évaluation neuropsychologique, Madame O______ constate des performances déficitaires à des épreuves mnésiques, des difficultés fluctuantes lors d’épreuves exécutives et des difficultés inconstantes au calcul mental. Elle considère que la présentation clinique n’évoque pas une entité syndromique en relation particulièrement évidente avec la présence de contusions bi-frontales. Etant donné que son appréciation se base sur des tests, qu’elle tient compte de l’anamnèse ainsi que des plaintes du recourant, que ses conclusions sont cohérentes</w:t>
      </w:r>
    </w:p>
    <w:p>
      <w:r>
        <w:t>A/2979/2017 - 22/26 - et qu’elles ne sont pas contredites par d’autres rapports médicaux, il n’y a pas lieu de s’en écarter. Au demeurant, le recourant ne la conteste pas.</w:t>
      </w:r>
    </w:p>
    <w:p>
      <w:r>
        <w:rPr>
          <w:b/>
        </w:rPr>
        <w:t>E. 12</w:t>
      </w:r>
    </w:p>
    <w:p>
      <w:r>
        <w:t>Par ailleurs, il apparaît que lors de la mise en œuvre de l’expertise confiée au Dr N______, l’intimée n’a pas respecté les principes de procédure prévalant en la matière. a) Selon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RAMA 2000 n° U 369 p. 104 consid. 2b, 1996 n° U 265 p. 294 consid. 3c). A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de la loi fédérale sur la procédure administrative du 20 décembre 1968 (PA;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w:t>
      </w:r>
    </w:p>
    <w:p>
      <w:r>
        <w:t>A/2979/2017 - 23/26 - des droits de participation antérieurs en ce sens qu'elle peut s'exprimer sur les questions posées à l'expert (ATF 138 V 318 consid. 6.1). Il convient de préciser que toute prise de position que requiert l'assureur d'un tiers médecin ne constitue cependant pas systématiquement une expertise. Savoir si un avis médical doit être qualifié d'expertise ou non est une question qui doit être résolue dans chaque cas particulier en fonction de l'importance sur le plan procédural des déclarations du médecin et du contenu de celles-ci. Une délimitation claire entre une expertise médicale (en particulier une expertise administrative) et une prise de position médicale, simple ou qualifiée, à laquelle, pour des raisons d'économie de procédure, des exigences moins sévères en matière de droit d'être entendu doivent être posées n'existe pas (ATF 122 V 160 consid. 1b in fine et la référence). En règle générale, on se trouve en présence d'une expertise lorsqu'un tiers est chargé de rendre un rapport médical fondé sur l'ensemble du dossier médical (en principe), ainsi que sur ses propres examens, en vue d'une appréciation finale d'un cas d'assurance (arrêt du Tribunal fédéral des assurances U 233/02 du</w:t>
      </w:r>
    </w:p>
    <w:p>
      <w:r>
        <w:rPr>
          <w:b/>
        </w:rPr>
        <w:t>E. 14</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En l’espèce, l’intimée n’a pas demandé au Dr D______ les précisions requises par le Dr N______, de sorte qu’il y a lieu de procéder à des investigations supplémentaires. Au vu des doutes du Dr N______ qui nécessitent de clarifier les</w:t>
      </w:r>
    </w:p>
    <w:p>
      <w:r>
        <w:t>A/2979/2017 - 25/26 - aspects médicaux du dossier, il y a lieu de renvoyer celui-ci à l’intimée afin qu’elle mette en œuvre une expertise externe pluridisciplinaire, à savoir en tout cas neurologique ainsi qu’oto-rhino-laryngologique et qu’elle rende une décision quant aux troubles ophtalmologiques. Dans ce cadre, il lui appartiendra de déterminer si l’expertise pluridisciplinaire doit également comporter un volet ophtalmologique, psychiatrique et radiologique eu égard à l’interprétation controversée de l’IRM cérébrale du 11 juillet 2014.</w:t>
      </w:r>
    </w:p>
    <w:p>
      <w:r>
        <w:rPr>
          <w:b/>
        </w:rPr>
        <w:t>E. 15</w:t>
      </w:r>
    </w:p>
    <w:p>
      <w:r>
        <w:t>Au vu de ce qui précède, le recours sera admis et les décisions des 6 avril 2017 ainsi que du 7 juin 2017 seront annulées. Le recourant obtenant gain de cause et étant représenté, une indemnité de CHF 3’000.-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A/2979/2017 - 26/26 -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