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ATAS/1157/2013 vom 25. November 2013</w:t>
      </w:r>
    </w:p>
    <w:p>
      <w:r>
        <w:t>GE Cour de justice, 2013-11-25, FR</w:t>
      </w:r>
    </w:p>
    <w:p>
      <w:r>
        <w:rPr>
          <w:b/>
        </w:rPr>
        <w:t xml:space="preserve">Quelle: </w:t>
      </w:r>
      <w:r>
        <w:t>https://mcp.opencaselaw.ch/entscheid/ge_gerichte_ATAS_1157_2013</w:t>
      </w:r>
    </w:p>
    <w:p>
      <w:r>
        <w:t>FR: GE_GERICHTE ATAS/1157/2013 du 25 novembre 2013</w:t>
      </w:r>
    </w:p>
    <w:p>
      <w:r>
        <w:t>IT: GE_GERICHTE ATAS/1157/2013 del 25 novembre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A/1588/2013 4/8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l'occurrence, se pose tout d'abord la question de l'exequatur du jugement de divorce, lequel a été rendu par un juge français. a) L'art. 29 de la loi fédérale sur le droit international privé du 18 mars 1987 (LDIP; RS 291)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30 avril 2013 par le Tribunal de grande instance de Thonon les bains. Le Tribunal fédéral des assurances (TFA) a à cet égard confirmé qu'en pareil cas, la juridiction saisie peut faire usage de la faculté réservée par l'art. 29 al. 3 LDIP et statuer elle-même à titre</w:t>
      </w:r>
    </w:p>
    <w:p>
      <w:r>
        <w:t>A/1588/2013 5/8 préjudiciel sur la reconnaissance en Suisse du divorce prononcé à l'étranger (ATF du 8 juin 2005, en la cause 6 S.438/2004; cf. également SJ 2002 II p. 397 et ss.).</w:t>
      </w:r>
    </w:p>
    <w:p>
      <w:r>
        <w:rPr>
          <w:b/>
        </w:rPr>
        <w:t>E. 4</w:t>
      </w:r>
    </w:p>
    <w:p>
      <w:r>
        <w:t>a)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Selon l’art. 27 a. 2 LDIP,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(at. 27 al. 3 LDIP).</w:t>
      </w:r>
    </w:p>
    <w:p>
      <w:r>
        <w:rPr>
          <w:b/>
        </w:rPr>
        <w:t>E. 5</w:t>
      </w:r>
    </w:p>
    <w:p>
      <w:r>
        <w:t>En l’espèce, le juge français a homologué la convention des époux, selon laquelle le demandeur doit verser à son ex-épouse la somme de 35'688 fr. 825 correspondant à la partie sur obligatoire de la prévoyance de son ex-conjoint et 11'230 fr 70 représentant la moitié du minimum LPP de celui-ci.</w:t>
      </w:r>
    </w:p>
    <w:p>
      <w:r>
        <w:t>A/1588/2013 6/8</w:t>
      </w:r>
    </w:p>
    <w:p>
      <w:r>
        <w:rPr>
          <w:b/>
        </w:rPr>
        <w:t>E. 6</w:t>
      </w:r>
    </w:p>
    <w:p>
      <w:r>
        <w:t>Compte tenu de l’attestation de la CIEPP et des déclarations des parties, il appert que Mme H__________ percevra moins de la moitié de l'avoir de vieillesse accumulé pendant le mariage par son ex-mari, étant précisé qu'elle-même ne dispose que d’un avoir de vieillesse acquis durant leur union de 463 fr 20 au 1er janvier 2013. Les avoirs accumulés au titre de prévoyance professionnelle jusqu’au 30 juin 2010 ont dûment été partagés par moitié. Les parties ont toutefois délibérément arrêté le partage à la date de l’ordonnance de non-conciliation, le 1er juillet 2010, et ne pas tenir compte des avoirs de prévoyance accumulés entre ladite date et le moment de leur divorce. Chacun des époux était assisté d’un avocat et a pu être utilement conseillé sur les incidences de leurs choix et signer, en connaissance de cause, la convention complète qu’ils ont soumise au juge du divorce. Dans ce cadre-là M. H__________ prend notamment en charge, sous l’intitulé « liquidation du régime matrimonial », les dettes relatives au bien immobilier du couple, à savoir des travaux de rafraichissement et le remboursement du solde du prêt. Il existe une différence de nature entre la prestation compensatoire du droit civil français et le partage des avoirs de prévoyance prévu par les art. 122 ss du Code civil suisse du 10 décembre 1907 (CC ; RS 210), institution que la législation française ne connaît pas comme telle (ATF 131 III 289 consid. 2.8 p. 295). Ainsi, cela ne permet pas de considérer que la convention est contraire à l'ordre public suisse, selon la jurisprudence précitée dans laquelle l’ex-épouse ne percevait que le cinquième des avoirs de prévoyance professionnelle de son ex-conjoint. En l’espèce le juge français a tenu compte, en fixant le montant de la prestation compensatoire, non seulement des avoirs de libre passage de l’époux débiteur, mais aussi d’éléments en lien avec la liquidation du régime matrimonial. Le juge français a dûment analysé la situation globale des époux, au regard du droit français applicable. Le jugement français remplit toutes les conditions pour être reconnu en Suisse.</w:t>
      </w:r>
    </w:p>
    <w:p>
      <w:r>
        <w:rPr>
          <w:b/>
        </w:rPr>
        <w:t>E. 7</w:t>
      </w:r>
    </w:p>
    <w:p>
      <w:r>
        <w:t>Dans l'esprit des ex-époux - ce que le demandeur a également confirmé dans la présente procédure - et du juge français, cette somme devait être prélevée sur l'avoir de vieillesse du demandeur. Le montant de la prestation compensatoire a en effet été fixé eu égard aux avoirs de prévoyance professionnelle des époux, et le demandeur ne dispose pas des économies nécessaires pour payer cette somme à son ex-épouse. Enfin, la défenderesse ne s'oppose pas à cette façon de faire.</w:t>
      </w:r>
    </w:p>
    <w:p>
      <w:r>
        <w:rPr>
          <w:b/>
        </w:rPr>
        <w:t>E. 8</w:t>
      </w:r>
    </w:p>
    <w:p>
      <w:r>
        <w:t>Enfin, la défenderesse a confirmé le caractère réalisable du partage. Par conséquent, il y a lieu de reconnaître le jugement de divorce et d'exécuter le partage ordonné par le juge français.</w:t>
      </w:r>
    </w:p>
    <w:p>
      <w:r>
        <w:t>A/1588/2013 7/8</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w:t>
      </w:r>
    </w:p>
    <w:p>
      <w:r>
        <w:t>******</w:t>
      </w:r>
    </w:p>
    <w:p>
      <w:r>
        <w:t>A/1588/2013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