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ATAS/1157/2011 vom 29. November 2011</w:t>
      </w:r>
    </w:p>
    <w:p>
      <w:r>
        <w:t>GE Cour de justice, 2011-11-29, FR</w:t>
      </w:r>
    </w:p>
    <w:p>
      <w:r>
        <w:rPr>
          <w:b/>
        </w:rPr>
        <w:t xml:space="preserve">Quelle: </w:t>
      </w:r>
      <w:r>
        <w:t>https://mcp.opencaselaw.ch/entscheid/ge_gerichte_ATAS_1157_2011</w:t>
      </w:r>
    </w:p>
    <w:p>
      <w:r>
        <w:t>FR: GE_GERICHTE ATAS/1157/2011 du 29 novembre 2011</w:t>
      </w:r>
    </w:p>
    <w:p>
      <w:r>
        <w:t>IT: GE_GERICHTE ATAS/1157/2011 del 29 novembre 2011</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 à une augmentation de sa rente d'invalidité dès février 2009.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2</w:t>
      </w:r>
    </w:p>
    <w:p>
      <w:r>
        <w:t>Interjeté dans les forme et délai prévus par la loi, devant l'autorité compétente, le recours est en conséquence recevable (art. 56 ss LPGA).</w:t>
      </w:r>
    </w:p>
    <w:p>
      <w:r>
        <w:t>A/2569/2011 - 10/14 -</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b) En vertu de l’art. 88a du règlement du 17 janvier 1961 sur l’assurance-invalidité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RAI est toutefois applicable par analogie (al. 2). c)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w:t>
      </w:r>
    </w:p>
    <w:p>
      <w:r>
        <w:t>A/2569/2011 - 11/14 - En revanche,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non publié du 13 juillet 2006, I 406/05, consid. 4.1 et les références).</w:t>
      </w:r>
    </w:p>
    <w:p>
      <w:r>
        <w:rPr>
          <w:b/>
        </w:rPr>
        <w:t>E. 5</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b)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c)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l'autre de ces avis et il y a lieu de mettre en œuvre une expertise par un médecin indépendant selon la procédure de l'article 44 LPGA ou une expertise judiciaire (ATF 135 V 465). Dans son arrêt du 28 juin 2011, le Tribunal fédéral a modifié sa jurisprudence, disant qu'à l'avenir, l'assuré aura droit, quand l'instruction menée par l'AI ne débouche pas, sur des points importants, sur des résultats suffisamment clairs, à la mise en œuvre d'une expertise judiciaire, à savoir auquel le tribunal doit procéder, et non l’administration. Il a également prévu qu'à l'avenir, l'AI devra, en ordonnant une expertise, soumettre à l'assuré la liste des questions qu'elle adressera à l'expert, et que lorsqu'un assuré et l'AI n'arrivent pas à s'entendre sur la personne de l'expert, l'AI devra rendre une décision formelle, contre laquelle l'assuré pourra recourir au</w:t>
      </w:r>
    </w:p>
    <w:p>
      <w:r>
        <w:t>A/2569/2011 - 12/14 - Tribunal cantonal des assurances, en se fondant sur des motifs de récusation tant formels que matériels (ATF 137 V 210).</w:t>
      </w:r>
    </w:p>
    <w:p>
      <w:r>
        <w:rPr>
          <w:b/>
        </w:rPr>
        <w:t>E. 6</w:t>
      </w:r>
    </w:p>
    <w:p>
      <w:r>
        <w:t>En l'espèce, il y a lieu de comparer la situation lors de l'octroi initial d'une demi- rente, le 13 février 2001, fondée sur les constatations médicales et l'évaluation de la capacité de travail faite lors de la réadaptation, au terme de l'instruction menée entre 1995 et 1998, avec la situation lors de la décision du 27 juin 2011, suite à la révision entreprise en 2009. En effet, les révisions intervenues entre deux n'ont pas été faites sur la base d'un examen matériel du droit à la rente. En premier lieu, l'expertise du Dr R__________ contient une anamnèse précise, se fonde sur des constatations objectives, les IRM et les rapports médicaux des divers spécialistes consultés et elle tient compte des plaintes du patient. Ses conclusions sont convaincantes, s'agissant de l'absence de conséquence sur la capacité de travail des diverses affections apparues après la décision de 2001, et elles sont de surcroît partagées par les divers spécialistes consultés et en particulier le Dr N__________, neurologue. Ainsi, l'AVC n'a pas eu de séquelles, l'hypertension, l'hypothyroïdie et le diabète sont bien équilibrés. Le tunnel carpien n'implique pas de limitation fonctionnelle et est donc sans conséquence sur la capacité de travail, de même que la colique néphrétique. Les causes des céphalées et des vertiges ne sont pas objectivées par une affection somatique ou psychique et sont vraisemblablement à rechercher dans les difficultés psycho-sociales de l'assuré. Sur ces éléments, l'avis du Dr U__________ ne peut être suivi, dès lors qu'il n'explique pas objectivement l'incapacité totale de travail retenue et qu'il varie sans motif apparent dans le taux d'incapacité retenu, étant rappelé que l'avis divergent du médecin traitant justifie d'ordonner une expertise judiciaire seulement s'il est probant. En second lieu, les douleurs lombaires, qui avaient justifié l'octroi d'une demi-rente en 2001 et exclu toute capacité de travail dans l'activité de maçon, ainsi que dans toute activité lourde, ne se sont pas aggravées d'une part et ne sont que partiellement objectivées par les IRM, d'autre part, (remaniements dégénératifs disco-vertébraux de D11 à L5; discopathie modérée en C5-C6; cervicarthrose bilatérale C4-C5 et C5-C6) selon l'avis du Dr R__________ partagé par le Dr N__________ et clairement motivé par les imageries discutées. Ainsi, c'est à juste titre que l'OAI a retenu que l'état de santé de l'assuré ne s'était pas durablement modifié par rapport à l'état qui avait conduit à l'octroi d'une demi-rente en 2001. La seule divergence - apparente - entre les avis des Drs R__________ et N__________ concerne la capacité de travail résiduelle de l'assuré. Le premier l'estime à 100% dans une activité adaptée, ce qui paraît excessif, compte tenu des troubles lombaires et cervicaux admis, le fait qu'ils soient dus à l'âge n'enlevant rien à leur caractère invalidant. Le second l'estime à 30% seulement, mais admet que ce taux tient compte du trouble somatoforme évoqué. Or, on peut exclure que ce dernier soit invalidant selon la jurisprudence restrictive du Tribunal fédéral, sans</w:t>
      </w:r>
    </w:p>
    <w:p>
      <w:r>
        <w:t>A/2569/2011 - 13/14 - qu'il soit nécessaire de se pencher sur la valeur probante de l'expertise du Dr T__________S, mais simplement en l'absence de toute comorbidité, le généraliste et les divers spécialistes consultés n'ayant jamais évoqué d'affection psychique, étant précisé qu'elle doit être d'une certaine gravité pour être déterminante. En l'absence de modification notable et durable de l'état de santé de l'assuré, il n'est pas nécessaire d'examiner plus avant la divergence susmentionnée et le maintien de la demi-rente est justifié. En dernier lieu, la récente jurisprudence du Tribunal fédéral ne justifie nullement d'annuler la décision de l'OAI, motif pris que l'assuré n'a pas pu se prononcer sur le choix de l'expert et les questions posées, ne serait-ce que parce l'arrêt en question (ATF 137 V 210 du 26 juin 2011) est postérieur à l'expertise du 15 novembre 2010. Au demeurant, il a déjà été exposé qu'aucune expertise judiciaire ne se justifiait dans le cas d'espèce.</w:t>
      </w:r>
    </w:p>
    <w:p>
      <w:r>
        <w:rPr>
          <w:b/>
        </w:rPr>
        <w:t>E. 7</w:t>
      </w:r>
    </w:p>
    <w:p>
      <w:r>
        <w:t>Le recours, mal fondé, est donc rejeté et la Cour de céans renonce à la perception d'un émolument, l'assuré plaidant au bénéfice de l'assistance juridique.</w:t>
      </w:r>
    </w:p>
    <w:p>
      <w:r>
        <w:t>A/2569/2011 - 14/14 -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