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ATAS/1156/2009 vom 5. März 2009</w:t>
      </w:r>
    </w:p>
    <w:p>
      <w:r>
        <w:t>GE Cour de justice, 2009-03-05, FR</w:t>
      </w:r>
    </w:p>
    <w:p>
      <w:r>
        <w:rPr>
          <w:b/>
        </w:rPr>
        <w:t xml:space="preserve">Quelle: </w:t>
      </w:r>
      <w:r>
        <w:t>https://mcp.opencaselaw.ch/entscheid/ge_gerichte_ATAS_1156_2009</w:t>
      </w:r>
    </w:p>
    <w:p>
      <w:r>
        <w:t>FR: GE_GERICHTE ATAS/1156/2009 du 5 mars 2009</w:t>
      </w:r>
    </w:p>
    <w:p>
      <w:r>
        <w:t>IT: GE_GERICHTE ATAS/1156/2009 del 5 marzo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Il s'avère toutefois que seul le demandeur dispose d'un avoir de prévoyance à partager. Les dates pertinentes sont, d’une part, celle du mariage, le 25 août 2005, d’autre part le 28 avril 2009, date à laquelle le jugement de divorce est devenu exécutoire.</w:t>
      </w:r>
    </w:p>
    <w:p>
      <w:r>
        <w:rPr>
          <w:b/>
        </w:rPr>
        <w:t>E. 4</w:t>
      </w:r>
    </w:p>
    <w:p>
      <w:r>
        <w:t>Selon les documents produits, la prestation acquise pendant le mariage par le demandeur est de 2'979 fr. 85, de sorte que le demandeur doit à son ex-épouse le montant de 1'489 fr. 90 ( 2'979 fr. 85 : 2). Cette somme sera prise sur les comptes d'HOTELA à raison de 1'072 fr. 50 et d'ALLIANZ à raison de 417 fr. 40.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w:t>
      </w:r>
    </w:p>
    <w:p>
      <w:r>
        <w:t>A/1648/2009 4/5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A/1648/2009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