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ATAS/1156/2008 vom 2. November 2006</w:t>
      </w:r>
    </w:p>
    <w:p>
      <w:r>
        <w:t>GE Cour de justice, 2006-11-02, FR</w:t>
      </w:r>
    </w:p>
    <w:p>
      <w:r>
        <w:rPr>
          <w:b/>
        </w:rPr>
        <w:t xml:space="preserve">Quelle: </w:t>
      </w:r>
      <w:r>
        <w:t>https://mcp.opencaselaw.ch/entscheid/ge_gerichte_ATAS_1156_2008</w:t>
      </w:r>
    </w:p>
    <w:p>
      <w:r>
        <w:t>FR: GE_GERICHTE ATAS/1156/2008 du 2 novembre 2006</w:t>
      </w:r>
    </w:p>
    <w:p>
      <w:r>
        <w:t>IT: GE_GERICHTE ATAS/1156/2008 del 2 novembre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Conformément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w:t>
      </w:r>
    </w:p>
    <w:p>
      <w:r>
        <w:t>A/3173/2008 4/5 avant le mariage est de 4% jusqu' au 31 décembre 2002, 3,25% en 2003, 2,25% en 2004, 2,5% dès le 1er janvier 2005, et 2,75% dès le 1er janvier 2008.</w:t>
      </w:r>
    </w:p>
    <w:p>
      <w:r>
        <w:rPr>
          <w:b/>
        </w:rPr>
        <w:t>E. 3</w:t>
      </w:r>
    </w:p>
    <w:p>
      <w:r>
        <w:t>En l’espèce, la Cour de Justice a ordonné le partage par moitié de la prestation de sortie acquise durant le mariage par le demandeur, soit du 29 janvier 1988 au 31 janvier 2007, date à laquelle le jugement prononçant le divorce est devenu exécutoire. Cette décision a été confirmée par le Tribunal fédéral le 2 mai 2008. Selon les documents produits, la prestation acquise pendant le mariage par le demandeur est de 420'321 fr. 10, après déduction de sa prestation de libre passage au moment du mariage (13'413 fr.), augmentée des intérêts dus jusqu'au divorce (13'353 fr. 75). En conséquence, le demandeur doit à son ex-épouse la moitié de ce montant, soit 210'160 fr. 55.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A/3173/2008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