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ATAS/1155/2021 vom 15. November 2021</w:t>
      </w:r>
    </w:p>
    <w:p>
      <w:r>
        <w:t>GE Cour de justice, 2021-11-15, FR</w:t>
      </w:r>
    </w:p>
    <w:p>
      <w:r>
        <w:rPr>
          <w:b/>
        </w:rPr>
        <w:t xml:space="preserve">Quelle: </w:t>
      </w:r>
      <w:r>
        <w:t>https://mcp.opencaselaw.ch/entscheid/ge_gerichte_ATAS_1155_2021</w:t>
      </w:r>
    </w:p>
    <w:p>
      <w:r>
        <w:t>FR: GE_GERICHTE ATAS/1155/2021 du 15 novembre 2021</w:t>
      </w:r>
    </w:p>
    <w:p>
      <w:r>
        <w:t>IT: GE_GERICHTE ATAS/1155/2021 del 15 novembre 2021</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LPGA).</w:t>
      </w:r>
    </w:p>
    <w:p>
      <w:r>
        <w:rPr>
          <w:b/>
        </w:rPr>
        <w:t>E. 2</w:t>
      </w:r>
    </w:p>
    <w:p>
      <w:r>
        <w:t>Le litige porte sur le bien-fondé de la demande de restitution par l’intimé d’un montant de CHF 22'238.- à la recourante, pour la période du 1er septembre 2013 au 31 août 2020 ainsi que sur le droit aux prestations de la recourante du 1er septembre 2020 au 31 mars 2021, l’intimé ayant rendu une nouvelle décision de prestations à partir du 1er avril 2021.</w:t>
      </w:r>
    </w:p>
    <w:p>
      <w:r>
        <w:rPr>
          <w:b/>
        </w:rPr>
        <w:t>E. 3</w:t>
      </w:r>
    </w:p>
    <w:p>
      <w:r>
        <w:t>A/2213/2021 - 4/6 -</w:t>
      </w:r>
    </w:p>
    <w:p>
      <w:r>
        <w:rPr>
          <w:b/>
        </w:rPr>
        <w:t>E. 3.1</w:t>
      </w:r>
    </w:p>
    <w:p>
      <w:r>
        <w:t>S'agissant des PCF,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Sur le plan cantonal, ont droit aux prestations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w:t>
      </w:r>
    </w:p>
    <w:p>
      <w:r>
        <w:rPr>
          <w:b/>
        </w:rPr>
        <w:t>E. 3.2</w:t>
      </w:r>
    </w:p>
    <w:p>
      <w:r>
        <w:t>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 L’article 16c OPC-AVS/AI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Dans ces circonstances, le dépôt de papiers ou le domicile fiscal, comme indices formels, ne peuvent créer qu'une présomption de fait que d'autres indices peuvent permettre de renverser (arrêt du Tribunal fédéral 9C_807/2009 du 24 mars 2010 consid. 3.4 et la référence).</w:t>
      </w:r>
    </w:p>
    <w:p>
      <w:r>
        <w:rPr>
          <w:b/>
        </w:rPr>
        <w:t>E. 3.3</w:t>
      </w:r>
    </w:p>
    <w:p>
      <w:r>
        <w:t>Selon l’art. 25 al. 1 LPGA, les prestations indûment touchées doivent être restituées. La restitution ne peut être exigée lorsque l’intéressé était de bonne foi et qu’elle le mettrait dans une situation difficile.</w:t>
      </w:r>
    </w:p>
    <w:p>
      <w:r>
        <w:t>A/2213/2021 - 5/6 -</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w:t>
      </w:r>
    </w:p>
    <w:p>
      <w:r>
        <w:rPr>
          <w:b/>
        </w:rPr>
        <w:t>E. 4.1</w:t>
      </w:r>
    </w:p>
    <w:p>
      <w:r>
        <w:t>En l’occurrence, l’intimé a reconnu, suite à l’audition des témoins, que M. E______ n’avait, durant la période litigieuse, habité le logement de la recourante que durant quelques mois en 2017, soit précisément, selon les déclarations des témoins, du 15 mars au 30 septembre 2017, dates qui sont par ailleurs admises par la recourante. En conséquence, le loyer proportionnel, selon l’art. 16c OPC-AVS/AI précité - en lien avec la cohabitation de M. E______ - ne peut être pris en compte dans le recalcul des prestations dues à la recourante que durant la période du 15 mars au 30 septembre 2017.</w:t>
      </w:r>
    </w:p>
    <w:p>
      <w:r>
        <w:rPr>
          <w:b/>
        </w:rPr>
        <w:t>E. 4.2</w:t>
      </w:r>
    </w:p>
    <w:p>
      <w:r>
        <w:t>Partant, le recours sera partiellement admis, la décision litigieuse annulée et la cause renvoyée à l’intimé pour nouvelle décision portant, d’une part, sur le calcul du montant à restituer, en tenant uniquement compte du loyer proportionnel précité et, d’autre part, sur le calcul des prestations dues à la recourante pour la période du 1er septembre 2020 au 31 mars 2021, sans prise en compte d’un loyer proportionnel. La recourante, représentée par son fils, n’a pas droit à des dépens. Pour le surplus, la procédure est gratuite.</w:t>
      </w:r>
    </w:p>
    <w:p>
      <w:r>
        <w:t>A/2213/2021 - 6/6 -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