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ATAS/1155/2019 vom 12. Dezember 2019</w:t>
      </w:r>
    </w:p>
    <w:p>
      <w:r>
        <w:t>GE Cour de justice, 2019-12-12, FR</w:t>
      </w:r>
    </w:p>
    <w:p>
      <w:r>
        <w:rPr>
          <w:b/>
        </w:rPr>
        <w:t xml:space="preserve">Quelle: </w:t>
      </w:r>
      <w:r>
        <w:t>https://mcp.opencaselaw.ch/entscheid/ge_gerichte_ATAS_1155_2019</w:t>
      </w:r>
    </w:p>
    <w:p>
      <w:r>
        <w:t>FR: GE_GERICHTE ATAS/1155/2019 du 12 décembre 2019</w:t>
      </w:r>
    </w:p>
    <w:p>
      <w:r>
        <w:t>IT: GE_GERICHTE ATAS/1155/2019 del 12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56ss LPGA).</w:t>
      </w:r>
    </w:p>
    <w:p>
      <w:r>
        <w:rPr>
          <w:b/>
        </w:rPr>
        <w:t>E. 3</w:t>
      </w:r>
    </w:p>
    <w:p>
      <w:r>
        <w:t>L’objet du litige est de déterminer si le droit du recourant à un trois quarts de rente d’invalidité jusqu’au 31 mars 2012 a été modifié, respectivement supprimé, d’une part, et si le montant de CHF 41'871.- doit être imputé sur le solde lui restant dû, d’autre part.</w:t>
      </w:r>
    </w:p>
    <w:p>
      <w:r>
        <w:rPr>
          <w:b/>
        </w:rPr>
        <w:t>E. 4</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w:t>
      </w:r>
    </w:p>
    <w:p>
      <w:r>
        <w:t>A/4580/2018 - 7/12 -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 quarts de rente s'il est invalide à 60% au moins, à une demi-rente s’il est invalide à 50% au moins, ou à un quart de rente s’il est invalide à 40% au moins (art. 28 al. 2 LAI).</w:t>
      </w:r>
    </w:p>
    <w:p>
      <w:r>
        <w:rPr>
          <w:b/>
        </w:rPr>
        <w:t>E. 6</w:t>
      </w:r>
    </w:p>
    <w:p>
      <w:r>
        <w:t>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w:t>
      </w:r>
    </w:p>
    <w:p>
      <w:r>
        <w:t>A/4580/2018 - 8/12 - c. Selon l’art. 25 al. 2 du règlement sur l’assurance-invalidité du 17 janvier 1961 (RS 831.201 ; RAI), les revenus déterminants pour l’évaluation de l’invalidité d’un indépendant qui exploite une entreprise en commun avec des membres de sa famille seront fixés d’après l’importance de sa collaboration. Pour mesurer celle-ci, il y a lieu de se fonder sur le revenu que l’assuré serait à même de réaliser seul. En effet, si les revenus de l’entreprise reposent également sur la collaboration de tierces personnes, il y a lieu de retrancher la part desdits revenus qui peut leur être attribuée, qu’elles soient salariées ou non (ATFA non publié I 331/87 du 28 avril 1988, cité in MEYER, Bundesgesetz über die Invalidenversicherung, 2ème éd. 2010, p. 328). Si le retranchement d’un tel facteur – étranger à l’invalidité – n’est pas possible, il convient de déterminer l’invalidité par la méthode extraordinaire (ATF 104 V 135 consid. 2c). Le recours à cette méthode s’impose également en présence d’autres facteurs également à même d’influencer les résultats de l’exploitation, tels la situation conjoncturelle et la concurrence. En pareil cas en effet, la comparaison des documents comptables, antérieurs et postérieurs à l’atteinte à la santé de l’assuré, ne permet pas, en règle générale, de distinguer la part du revenu qui dépend de facteurs étrangers à l’invalidité et celle qui de dépend de la seule prestation de travail de l'assuré (VSI 5/1998 pp. 124 et 259).</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A/4580/2018 - 9/12 -</w:t>
      </w:r>
    </w:p>
    <w:p>
      <w:r>
        <w:rPr>
          <w:b/>
        </w:rPr>
        <w:t>E. 9</w:t>
      </w:r>
    </w:p>
    <w:p>
      <w:r>
        <w:t>En l’espèce, il sied tout d’abord de constater que la décision du 27 novembre 2018, notifiée par l’OAI a été annulée par celle du 4 décembre 2018. Par conséquent, le recours contre la décision du 27 novembre 2018 est devenu sans objet.</w:t>
      </w:r>
    </w:p>
    <w:p>
      <w:r>
        <w:rPr>
          <w:b/>
        </w:rPr>
        <w:t>E. 10</w:t>
      </w:r>
    </w:p>
    <w:p>
      <w:r>
        <w:t>Sur le fond, dans son premier grief, le recourant reproche à l’intimé de n’avoir pas mentionné dans la décision attaquée son droit à un trois quarts de rente AI jusqu’au 31 mars 2012. Afin de déterminer les droits du recourant, il est nécessaire de reprendre chronologiquement les décisions prises par l’intimé. Par arrêt du 30 octobre 2007, le TCAS a décidé que l’assuré avait droit à un trois quarts de rente d’invalidité depuis le 1er janvier 2005. La révision à laquelle a procédé l’OAI par la suite a abouti à la décision du 22 mai 2013, soit la suppression du droit à la rente, décision qui a été annulée par l’arrêt de la chambre des assurances sociales du 12 novembre 2013 avec un renvoi à l’autorité pour instruction au sens des considérants. Partant, le droit à un trois quarts de rente d’invalidité n’a pas été annulé par une décision postérieure et a continué à déployer ses effets. Dans sa nouvelle décision rendue en date du 4 décembre 2018, l’intimé ne s’est prononcée que sur l’octroi d’une rente d’invalidité à 100%, dès le 1er avril 2012. Il est exact, comme le relève le recourant, que dans le projet de décision du</w:t>
      </w:r>
    </w:p>
    <w:p>
      <w:r>
        <w:rPr>
          <w:b/>
        </w:rPr>
        <w:t>E. 15</w:t>
      </w:r>
    </w:p>
    <w:p>
      <w:r>
        <w:t>octobre 2018, accepté par le recourant, l’intimé avait rappelé que « le droit à un trois quarts de rente est reconnu jusqu’au 31.03.2012 ». Cette mention n’a pas été reprise dans la décision querellée qui ne mentionne que le droit à la rente d’invalidité de 100% dès le 1er avril 2012. Le recourant considère qu’il s’agit vraisemblablement d’une « inadvertance de l’autorité », voire d’une « erreur », et demande à la chambre de céans de confirmer son droit. Or, le déroulement chronologique mentionné supra démontre que la précédente décision de mettre fin au trois quart de rente d’invalidité avait été annulée par la chambre de céans ce qui implique que le recourant avait droit au versement de trois quart de la rente invalidité jusqu’au 31 mars 2012. La décision attaquée ne concerne que le droit à une rente entière depuis le 1er avril 2012 et ne remet pas en question le droit au trois quart de rente invalidité. Le recourant lui-même ne semble pas considérer que ce droit est modifié dès lors qu’il expose dans son recours que c’est « par inadvertance que se fondant sur le projet de décision, l’office a reconnu le droit au versement d’une rente entière depuis le 1er avril 2012 mais n’a pas reconnu le même droit pour un trois quart de rente jusqu’au 31 mars 2012 ». Ce faisant, le recourant - assisté d’un Conseil - donne à la décision du 4 décembre 2018 une interprétation et une portée que cette décision n’a pas.</w:t>
      </w:r>
    </w:p>
    <w:p>
      <w:r>
        <w:t>A/4580/2018 - 10/12 - Certes, la motivation de la décision, en page 4, est quelque peu sibylline, l’OAI écrivant sous le titre « Résultat de nos constatations » que « (…) notre Office a supprimé le trois quart de rente de votre mandant (…) ». Ce rappel des faits doit toutefois être remis dans le contexte qui s’en est suivi, soit que la décision de l’OAI a été annulée en date du 12 novembre 2013 par la chambre de céans. S’y ajoute le fait que la page 4 de la décision commence par le titre « Motivation Augmentation de la rente d’invalidité », ce qui confirme que ladite motivation n’implique pas la suppression de la précédente rente invalidité de trois quart, mais au contraire vise à son augmentation, passant ainsi de trois quart de rente à une rente entière. Compte tenu de ce qui précède, la conclusion du recourant selon laquelle la chambre de céans doit rectifier la décision attaquée en mentionnant également le droit à trois quart de rente invalidité du 1er février 2011 jusqu’au 31 mars 2012 doit être écartée et le recours doit être rejeté sur ce point. 11. Le second grief du recourant concerne l’imputation d’un montant de CHF 41'871.-, que le recourant conteste avoir reçu. Les deux extraits de compte, établis le 10 janvier 2019 et fournis par la caisse, font apparaître les paiements suivants effectués en faveur de l’assuré : Prestations en faveur de l’assuré, extrait de compte du 1er avril 2012 au 30 juin 2013 : Avril 2012 1'545.- Mai 2012 1'545.- Juin 2012 1'545.- Juillet 2012 1'545.- Août 2012 1'545.- Septembre 2012 1'545.- Octobre 2012 1'545.- Novembre 2012 1'545.- Décembre 2012 1'545.- Janvier 2013 1'559.- Février 2013 1'559.- Mars 2013 1'559.- Avril 2013 1'559.- Mai 2013 1'559.- Juin 2013 1'559.- Soit un montant total de CHF 23'259.- versé à l’assuré. S’y ajoutent les prestations versées à l’assuré, mais en faveur de ses deux enfants, selon l’extrait de compte du 1er avril 2012 au 30 juin 2013 : Avril 2012 1'236.- Mai 2012 1'236.- Juin 2012 1'236.-</w:t>
      </w:r>
    </w:p>
    <w:p>
      <w:r>
        <w:t>A/4580/2018 - 11/12 - Juillet 2012 1'236.- Août 2012 1'236.- Septembre 2012 1'236.- Octobre 2012 1'236.- Novembre 2012 1'236.- Décembre 2012 1'236.- Janvier 2013 1'248.- Février 2013 1'248.- Mars 2013 1'248.- Avril 2013 1'248.- Mai 2013 1'248.- Juin 2013 1'248.- Soit un montant total de CHF 18'612.- versé à l’assuré. En additionnant les versements faits au titre de la rente de l’assuré (soit CHF 23'259.-) et les versements faits au titre de la rente des deux enfants, liés à la rente du père (soit CHF 18'612.-), on parvient au total de CHF 41'871.- ce qui correspond au montant imputé par l’OAI. Compte tenu de ce qui précède, la chambre de céans constate que l’intimé a produit des extraits de compte montrant que la caisse a versé, sur la période concernée, un montant total de CHF 41'871.- au recourant. Il sied d’ajouter que pour certains montants importants figurant dans les extraits, l’assuré n’a pas nié les avoir reçus. À défaut de rendre vraisemblable ses allégations, sans aucune production de document (extrait de son compte bancaire, lettre de rappel à l’OAI ou autre) susceptible de contredire ou de jeter le doute sur l’exactitude des décomptes fournis par la caisse, la chambre de céans considère comme hautement vraisemblable que le montant total de CHF 41'871.- a bien été versé par l’intimé au recourant. Le recours doit donc être également rejeté sur ce second point. 12. Eu égard aux considérations qui précèdent, le recours est rejeté. Le recourant, qui succombe, n’a pas droit à des dépens. La procédure en matière d'assurance-invalidité n'étant pas gratuite (art. 69 al. 1bis LAI), le recourant supporte l'émolument de CHF 200.-.</w:t>
      </w:r>
    </w:p>
    <w:p>
      <w:r>
        <w:t>A/4580/2018 - 12/12 -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