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ATAS/1155/2014 vom 10. November 2014</w:t>
      </w:r>
    </w:p>
    <w:p>
      <w:r>
        <w:t>GE Cour de justice, 2014-11-10, FR</w:t>
      </w:r>
    </w:p>
    <w:p>
      <w:r>
        <w:rPr>
          <w:b/>
        </w:rPr>
        <w:t xml:space="preserve">Quelle: </w:t>
      </w:r>
      <w:r>
        <w:t>https://mcp.opencaselaw.ch/entscheid/ge_gerichte_ATAS_1155_2014</w:t>
      </w:r>
    </w:p>
    <w:p>
      <w:r>
        <w:t>FR: GE_GERICHTE ATAS/1155/2014 du 10 novembre 2014</w:t>
      </w:r>
    </w:p>
    <w:p>
      <w:r>
        <w:t>IT: GE_GERICHTE ATAS/1155/2014 del 10 novembre 2014</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(art. 56 et ss LPGA).</w:t>
      </w:r>
    </w:p>
    <w:p>
      <w:r>
        <w:rPr>
          <w:b/>
        </w:rPr>
        <w:t>E. 4</w:t>
      </w:r>
    </w:p>
    <w:p>
      <w:r>
        <w:t>Le litige porte sur le bien-fondé de la décision de l’assureur-accidents de mettre un terme à la prise en charge de l’accident du 3 septembre 2010, particulièrement sur la question de la subsistance, au-delà de cette date, d’un lien de causalité naturelle entre cet événement et les troubles du recourant.</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En l’espèce, il n’est pas contesté que l’événement du 3 septembre 2010 constituait un accident.</w:t>
      </w:r>
    </w:p>
    <w:p>
      <w:r>
        <w:rPr>
          <w:b/>
        </w:rPr>
        <w:t>E. 6</w:t>
      </w:r>
    </w:p>
    <w:p>
      <w:r>
        <w:t>a/aa)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w:t>
      </w:r>
    </w:p>
    <w:p>
      <w:r>
        <w:t>A/3203/2012 - 19/27 -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a/bb)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a/cc)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(ATF non publiés 8C_1003/2010 du 22 novembre 2011, consid. 1.2; 8C_552/2007 du 19 février 2008, consid. 2).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w:t>
      </w:r>
    </w:p>
    <w:p>
      <w:r>
        <w:t>A/3203/2012 - 20/27 - circonstance (ATF 129 V 177 consid. 2.2 et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A/3203/2012 - 21/27 - Toutefois, s'il est vrai que la relation particulière de confiance unissant un patient et son médecin traitant peut influencer l'objectivité ou l'impartialité de celui-ci, elle ne justifie cependant pas en elle-même l'éviction de tous les avis émanant des médecins traitants. Il faut en effet effectuer une appréciation globale de la valeur probante du rapport du médecin traitant au regard des autres pièces médicales (ATF non publiés 9C_12/2012 consid. 7.1, 8C_15/2009 du 11 janvier 2010 consid. 3.2, 9C_973/2011 du 27 février 2012 consid. 3.2.1, 9C_888/2011 du 13 juin 2012 consid. 4.3). 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8</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w:t>
      </w:r>
    </w:p>
    <w:p>
      <w:r>
        <w:t>A/3203/2012 - 22/27 - Est seul décisif le point de savoir si les causes accidentelles d'une atteinte à la santé ne jouent plus de rôle et doivent ainsi être considérées comme ayant disparu (ATFA non publiés U 359/04 du 20 décembre 2005, consid. 2; U 389/04 du 27 octobre 2005, consid. 4.1; U 222/04 du 30 novembre 2004, consid. 1.3).</w:t>
      </w:r>
    </w:p>
    <w:p>
      <w:r>
        <w:rPr>
          <w:b/>
        </w:rPr>
        <w:t>E. 9</w:t>
      </w:r>
    </w:p>
    <w:p>
      <w:r>
        <w:t>En l’espèce, l’intimée observe qu’après l’accident survenu le 3 septembre 2010, le recourant avait retrouvé une pleine capacité de travail dès le 29 novembre 2010 et ce, jusqu’à la date de l’opération du 12 août 2011. Elle en déduit que cette dernière n’était pas motivée par les conséquences de l’accident, mais par la lésion de type SLAP de degré II, à savoir un état maladif. Aussi en conclut-elle que le statu quo sine avait été atteint au plus tard à la date du 1er janvier 2011, tel que retenu dans la décision querellée. Un tel raisonnement implique toutefois que l’on s’écarte des conclusions de l’expert M_____, lequel a précisé sur question que l’intervention du 12 août 2011 avait été réalisée en raison de la persistance de troubles à l’épaule droite après l’accident du 3 septembre 2010, ajoutant que cette opération avait permis de traiter à la fois des éléments en relation avec l’accident (bursite sous-acromiale et la tendinite du long chef du biceps) et un élément maladif (lésion SLAP de degré II). L’expertise du Dr M_____ traite les points litigieux importants de manière fouillée, se fonde sur des examens complets, prend en considération les plaintes exprimées et elle a été établie en pleine connaissance du dossier. Comme pour le surplus, la description des interférences médicales est claire et les conclusions de l’expert bien motivées, cette expertise doit se voir reconnaître pleine valeur probante. Elle comporte des indications précises sur le déroulement de l’accident du 3 septembre 2010 et ses conséquences, à savoir l'apparition d’une épaule gelée post-traumatique et d’une tendinopathie du biceps. Il est ajouté que l’arthroscopie pratiquée le 12 août 2011 par le Dr I_____ était partiellement en lien de causalité avec l’accident du 3 septembre 2010 et qu’une reprise du travail à 50 % avait été établie au 31 octobre 2013, et à 100 % le 15 novembre 2013. Par ailleurs, le Dr M_____ explique de manière claire pour quels motifs il s’écarte des rapports du Dr I_____ et de l’expertise du Dr L_____. Dans la mesure où le premier a fondé son appréciation sur une analyse incorrecte des circonstances de l’accident du 3 septembre 2010 et que le second s’est manifestement trompé sur la survenance du statu quo sine quatre mois après la contusion, cette dernière ne pouvant de surcroît être qualifiée de « simple », les rapports des Drs I_____ et L_____ ne sauraient remettre en cause les conclusions du Dr M_____. L’intimée se fonde encore sur le rapport du 18 novembre 2010 du Dr F_____, soulignant que selon ce praticien, le diagnostic était une contusion de l’épaule droite et que le pronostic était bon avec, à la clé, une reprise du travail à 100 % à compter du 29 novembre 2010. Elle ajoute que selon le Dr F_____, il n’y avait pas de dommage permanent à craindre et qu’aucune intervention chirurgicale n’était prévue.</w:t>
      </w:r>
    </w:p>
    <w:p>
      <w:r>
        <w:t>A/3203/2012 - 23/27 - Force est toutefois de constater que l’évolution subséquente de l’état de santé du recourant a démontré la nécessité d’une intervention chirurgicale en date du 12 août 2011. Par ailleurs, il ressort des explications circonstanciées du Dr M_____ que cette intervention était partiellement en lien de causalité avec l’accident du 3 septembre 2010. Ainsi, le rapport du Dr F_____ – au demeurant fort succinct et non motivé – n’est pas non plus apte à remettre en cause l’expertise du Dr M_____.</w:t>
      </w:r>
    </w:p>
    <w:p>
      <w:r>
        <w:rPr>
          <w:b/>
        </w:rPr>
        <w:t>E. 10</w:t>
      </w:r>
    </w:p>
    <w:p>
      <w:r>
        <w:t>Compte tenu de ce qui précède, l’intimée ne pouvait fixer le statu quo sine quatre mois après l’accident et partant, mettre un terme à ses prestations au 1er janvier 2011. Comme il est établi au degré de la vraisemblance prépondérante qu’il n’y a pas, en l’état, de retour à l’état antérieur à l’accident du 3 septembre 2010, il incombera à l’intimée de prendre en charge toutes prestations découlant en tout ou partie de cet événement dans la mesure fixée par l’art. 36 al. 1 LAA, en particulier les prestations pour soins ainsi que les indemnités journalières. S’agissant de ces dernières, il convient cependant de porter en déduction à due concurrence les périodes durant lesquelles le recourant a présenté une capacité de travail totale ou partielle (art. 16 al. 1 LAA). Le recours est donc admis dans cette mesure.</w:t>
      </w:r>
    </w:p>
    <w:p>
      <w:r>
        <w:rPr>
          <w:b/>
        </w:rPr>
        <w:t>E. 11</w:t>
      </w:r>
    </w:p>
    <w:p>
      <w:r>
        <w:t>Il reste à examiner le montant de l’indemnité pour atteinte à l’intégrité corporelle (IPAI). L’intimée conteste le degré d’environ 25% retenu par le Dr M_____, soutenant que ce taux diverge de l’annexe 3 à l’OLAA et des tables de la SUVA.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elle ne doit pas excéder le montant maximum du gain annuel assuré à l'époque de l'accident et elle est échelonnée selon la gravité de l'atteinte à l'intégrité (al. 1, 2ème phrase). Elle est également versée en cas de maladie professionnelle (cf. art. 9 al. 3 LAA).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(ATF non publié 8C_703/2008 du 25 septembre 2009, consid. 5.1 et</w:t>
      </w:r>
    </w:p>
    <w:p>
      <w:r>
        <w:t>A/3203/2012 - 24/27 -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1ère phrase); elle est réputée importante lorsque l'intégrité physique ou mentale subit, indépendamment de la diminution de la capacité de gain, une altération évidente ou grave (al. 1, 2ème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1ère phrase). Cette disposition a été jugée conforme à la loi en tant qu'elle définit le caractère durable de l'atteinte (ATF 133 V 224 consid. 2; ATFA non publié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(FREI/BLEUER, Évaluation d'atteintes à l'intégrité multiples, in SUVA Medical 2012, p. 202). Le taux d'une atteinte à l'intégrité doit être évalué exclusivement sur la base de constatations médicales (ATF 115 V 147 consid. 1; ATF 113 V 218 consid. 4b; RAMA 2004 p. 415; ATFA non publié U 134/03 du 12 janvier 2004, consid. 5.2).</w:t>
      </w:r>
    </w:p>
    <w:p>
      <w:r>
        <w:rPr>
          <w:b/>
        </w:rPr>
        <w:t>E. 12</w:t>
      </w:r>
    </w:p>
    <w:p>
      <w:r>
        <w:t>Depuis le 1er janvier 2008, le montant maximum du gain assuré s’élève à 126'000 fr. par an et 346 fr. par jour (art. 22 al. 1 de l'ordonnance sur l'assurance- accidents, du 20 décembre 1982 [OLAA ; RS 832.202]). Entre le 1er janvier 2000 et le 31 décembre 2007, ce montant s'élevait à 106'800 fr. par an et 293 fr. par jour (art. 22 al. 1 aOLAA; RO 1998 p. 2588).</w:t>
      </w:r>
    </w:p>
    <w:p>
      <w:r>
        <w:t>A/3203/2012 - 25/27 - En cas de rechute ou de séquelles tardives, la base de calcul déterminante pour le calcul de l'indemnité pour atteinte à l'intégrité due est le montant maximum du gain annuel assuré au jour de l'accident (ATF 127 V 456 consid. 4).</w:t>
      </w:r>
    </w:p>
    <w:p>
      <w:r>
        <w:rPr>
          <w:b/>
        </w:rPr>
        <w:t>E. 13</w:t>
      </w:r>
    </w:p>
    <w:p>
      <w:r>
        <w:t>a)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Selon l’annexe 3 à l’OLAA, une luxation récidivante de l’épaule correspond à un taux de 10% et la perte d’un bras, au niveau du coude ou au-dessus, à un taux de 50%. À teneur de la table 1 de la SUVA relative à l’indemnisation des atteintes à l’intégrité résultant de troubles fonctionnels des membres supérieurs, une épaule bloquée en adduction correspond à un taux de 30% ; une épaule mobile jusqu’à 30° au-dessus de l’horizontale à un taux de 10% et une épaule mobile jusqu’à l’horizontale à un taux de 15%. En l’espèce, le Dr M_____ relève qu’au jour de l’expertise, l’élévation active de l’épaule était limitée à 50°, la rotation externe à 30° et la force de flexion-abduction minime. Il ajoute que la force de la main droite était diminuée de moitié. Il précise que cet état est pire que celui correspondant à une épaule mobile jusqu’à l’horizontale et comparable à d’autres atteintes pour lesquelles la table 1 de la</w:t>
      </w:r>
    </w:p>
    <w:p>
      <w:r>
        <w:t>A/3203/2012 - 26/27 - SUVA retient un taux de 25%, soit la paralysie du nerf axillaire et la périarthrite scapulo-humérale grave. Dans la mesure où le taux fixé par le Dr M_____ est conforme aux principes énoncés ci-dessus et que l’intimée n’oppose aucun avis médical pour en contester le bien-fondé, il n’y a pas lieu de s’écarter de l’appréciation de l’expert pour autant que la situation n’évolue pas. Or, le Dr M_____ précise que l’état de l’épaule est susceptible d’amélioration à l’avenir et que le taux de 25% ne peut être considéré comme définitif. Force est donc de constater que l’état de santé du recourant n’est pas stabilisé et que la question du caractère durable de l’atteinte demeure ouverte en l’état. Partant, il incombera à l’intimée de rendre une décision quant à l’octroi d’une éventuelle IPAI une fois l’état de santé du recourant stabilisé.</w:t>
      </w:r>
    </w:p>
    <w:p>
      <w:r>
        <w:rPr>
          <w:b/>
        </w:rPr>
        <w:t>E. 14</w:t>
      </w:r>
    </w:p>
    <w:p>
      <w:r>
        <w:t>Au vu de ce qui précède, le recours est partiellement admis et la cause renvoyée à l’intimée pour qu’une nouvelle décision soit rendue dans l’immédiat à propos de la prise en charge des prestations en lien avec l’accident du 3 septembre 2010, conformément aux considérants qui précèdent. Le recourant obtenant partiellement gain de cause, une indemnité de CHF 2'500.- lui sera accordée à titre de participation à ses frais et dépens (art. 61 let. g LPGA). Pour le surplus, la procédure est gratuite (art. 61 let. a LPGA).</w:t>
      </w:r>
    </w:p>
    <w:p>
      <w:r>
        <w:t>A/3203/2012 - 27/27 -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