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ATAS/1154/2014 vom 5. November 2014</w:t>
      </w:r>
    </w:p>
    <w:p>
      <w:r>
        <w:t>GE Cour de justice, 2014-11-05, FR</w:t>
      </w:r>
    </w:p>
    <w:p>
      <w:r>
        <w:rPr>
          <w:b/>
        </w:rPr>
        <w:t xml:space="preserve">Quelle: </w:t>
      </w:r>
      <w:r>
        <w:t>https://mcp.opencaselaw.ch/entscheid/ge_gerichte_ATAS_1154_2014</w:t>
      </w:r>
    </w:p>
    <w:p>
      <w:r>
        <w:t>FR: GE_GERICHTE ATAS/1154/2014 du 5 novembre 2014</w:t>
      </w:r>
    </w:p>
    <w:p>
      <w:r>
        <w:t>IT: GE_GERICHTE ATAS/1154/2014 del 5 novembre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délai et forme prescrits par la loi, le recours est recevable à la forme (art. 56 ss). Toutefois, les conclusions de nature constatatoire de l'intimé sont irrecevables, dès lors que le l'intimé peut obtenir en sa faveur un jugement condamnatoire ou une décision formatrice (ATF 135 I 119 consid. 4 p. 122; 132 V 18 consid. 2.1 p. 21).</w:t>
      </w:r>
    </w:p>
    <w:p>
      <w:r>
        <w:rPr>
          <w:b/>
        </w:rPr>
        <w:t>E. 3</w:t>
      </w:r>
    </w:p>
    <w:p>
      <w:r>
        <w:t>Est litigieuse en l’occurrence la question de savoir si l’intimé est fondé de demander à la recourante la restitution de la somme de CHF 10'907.- représentant les rentes complémentaires pour enfant du mois de janvier 2013 au mois de janvier 2014.</w:t>
      </w:r>
    </w:p>
    <w:p>
      <w:r>
        <w:rPr>
          <w:b/>
        </w:rPr>
        <w:t>E. 4</w:t>
      </w:r>
    </w:p>
    <w:p>
      <w:r>
        <w:t>Aux termes de l’art. 35 al. 1 LAI, les personnes au bénéfice d’une rente d’invalidité ont droit à une rente pour chacun des enfants qui, au décès de ces personnes, aurait droit à la rente d’orphelin de l’assurance-vieillesse et survivants. Ce droit est régit par l’art. 25 de la loi fédérale sur l’assurance-vieillesse et survivants du 20 décembre 1946 (LAVS ; RS 831.10). Il s’éteint au 18ème anniversaire ou au décès de l’orphelin (al. 4). Pour les enfants qui accomplissent une formation, le droit à la rente s’étend jusqu’au terme de cette formation, mais au plus jusqu’à l’âge de 25 ans révolus (al. 5). Un enfant est réputé en formation lorsqu’il suit une formation régulière reconnue de jure ou de facto, à laquelle il consacre la majeure partie de son temps, ou se prépare systématiquement à un diplôme professionnel, ou obtient une formation générale qui sert de base en vue de différentes professions, conformément à l’art. 49 bis al. 1 du règlement sur l'assurance-vieillesse et survivants du 31 octobre 1947 (RAVS ; RS 831.101). Sont également considérées comme formations les solutions transitoires d’occupation, comme les semestres de motivation et les préapprentissages, les séjours au pair et les séjours linguistiques, pour autant qu’ils comprennent une partie de cours (al. 2). Si le revenu d’activité lucrative mensuel moyen de l’enfant est supérieur à la rente de vieillesse complète maximale de l’AVS, l’enfant n’est pas considéré en formation (al. 4).</w:t>
      </w:r>
    </w:p>
    <w:p>
      <w:r>
        <w:rPr>
          <w:b/>
        </w:rPr>
        <w:t>E. 5</w:t>
      </w:r>
    </w:p>
    <w:p>
      <w:r>
        <w:t>L’art. 49ter RAVS règle la fin ou l’interruption de formation. Celle-ci se termine avec un diplôme de fin d’études ou un diplôme professionnel (al. 1). Elle est également considérée comme terminée lorsqu’elle est abandonnée ou interrompue, ou lorsque le droit à une rente d’invalidité prend naissance (al. 2). Les interruptions</w:t>
      </w:r>
    </w:p>
    <w:p>
      <w:r>
        <w:t>A/230/2014 - 6/8 - pour raisons de santé ou de grossesse, jusqu’à une durée maximale de douze mois, ne sont pas considérées comme une interruption assimilée à la fin de la formation, si la formation se poursuit immédiatement après (al. 3 let. c).</w:t>
      </w:r>
    </w:p>
    <w:p>
      <w:r>
        <w:rPr>
          <w:b/>
        </w:rPr>
        <w:t>E. 6</w:t>
      </w:r>
    </w:p>
    <w:p>
      <w:r>
        <w:t>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w:t>
      </w:r>
    </w:p>
    <w:p>
      <w:r>
        <w:rPr>
          <w:b/>
        </w:rPr>
        <w:t>E. 7</w:t>
      </w:r>
    </w:p>
    <w:p>
      <w:r>
        <w:t>En l’occurrence, il n’est pas contesté que la fille de la recourante a mis fin au contrat d'apprentissage en décembre 2012 pour des raisons de santé. Elle a allégué avoir entrepris par la suite une formation de tatoueuse. Toutefois, dès lors qu'elle n’est pas en mesure d’indiquer le nom de son maître d'apprentissage, ni de fournir la preuve des périodes précises de l'apprentissage de ce métier, une formation au sens de la loi ne peut être retenue. Ces éléments ne peuvent pas non plus être déduits des rapports des médecins de la fille de la recourante. Selon les propres dires de la fille de celle-ci, elle n’a pas non plus consacré la majeure partie de son temps à cette formation. Il est vrai toutefois qu'il faudrait admettre que la part consacrée à la formation devrait être établie en fonction de la capacité résiduelle de travail, lorsque celle-ci est diminuée, comme cela est fort vraisemblable en l'espèce. Faute de preuve des stages de tatouages, ils ne peuvent pas non plus être considérés comme une solution transitoire d’occupation au sens de l’art. 49bis al. 2 RAVS. L’absence de preuve doit être supportée par la recourante, en vertu des règles susmentionnées. Cela étant, il sied de constater que la recourante a indûment perçu les rentes complémentaires pour sa fille de janvier 2013 à janvier 2014.</w:t>
      </w:r>
    </w:p>
    <w:p>
      <w:r>
        <w:rPr>
          <w:b/>
        </w:rPr>
        <w:t>E. 8</w:t>
      </w:r>
    </w:p>
    <w:p>
      <w:r>
        <w:t>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w:t>
      </w:r>
    </w:p>
    <w:p>
      <w:r>
        <w:t>A/230/2014 - 7/8 - L'obligation de restituer suppose, conformément à la jurisprudence rendue à propos des anciens art. 47 al. 1 de la loi fédérale sur l'assurance-vieillesse et survivants, du 20 décembre 1946 (LAVS; RS 831.10) ou 95 de la loi fédérale sur l'assurance- 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w:t>
      </w:r>
    </w:p>
    <w:p>
      <w:r>
        <w:rPr>
          <w:b/>
        </w:rPr>
        <w:t>E. 9</w:t>
      </w:r>
    </w:p>
    <w:p>
      <w:r>
        <w:t>En l'espèce, les conditions pour une révision de la décision d'octroi d'une rente complémentaire pour enfant sont données, en présence d'un fait nouveau, à savoir le fait que la fille de la recourante n'est plus en formation depuis fin 2012. Il apparaît également que le délai de péremption d'une année pour demander la restitution des prestations indûment versées depuis la connaissance des faits n'était pas expiré au moment où l'intimé a appris la fin de l'apprentissage, soit en janvier 2014, sa décision étant datée du 10 de ce mois. Par conséquent, la recourante est tenue de rembourser les prestations reçues depuis janvier 2013 à titre de rente complémentaire pour sa fille.</w:t>
      </w:r>
    </w:p>
    <w:p>
      <w:r>
        <w:rPr>
          <w:b/>
        </w:rPr>
        <w:t>E. 10</w:t>
      </w:r>
    </w:p>
    <w:p>
      <w:r>
        <w:t>Quant à la remise de l'obligation de restituer, elle devra faire l'objet d'une nouvelle décision de la part de l'intimé, raison pour laquelle la cause lui sera renvoyée.</w:t>
      </w:r>
    </w:p>
    <w:p>
      <w:r>
        <w:rPr>
          <w:b/>
        </w:rPr>
        <w:t>E. 11</w:t>
      </w:r>
    </w:p>
    <w:p>
      <w:r>
        <w:t>Cela étant, le recours sera rejeté et la cause renvoyée à l'intimé pour nouvelle décision sur la demande de remise de la recourante.</w:t>
      </w:r>
    </w:p>
    <w:p>
      <w:r>
        <w:rPr>
          <w:b/>
        </w:rPr>
        <w:t>E. 12</w:t>
      </w:r>
    </w:p>
    <w:p>
      <w:r>
        <w:t>Dans la mesure où le recours ne porte pas sur l'octroi ou le refus de prestations, mais sur la restitution de prestations indûment perçues, la procédure est gratuite.</w:t>
      </w:r>
    </w:p>
    <w:p>
      <w:r>
        <w:t>A/230/2014 - 8/8 -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