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ATAS/1154/2006 vom 12. Dezember 2006</w:t>
      </w:r>
    </w:p>
    <w:p>
      <w:r>
        <w:t>GE Cour de justice, 2006-12-12, FR</w:t>
      </w:r>
    </w:p>
    <w:p>
      <w:r>
        <w:rPr>
          <w:b/>
        </w:rPr>
        <w:t xml:space="preserve">Quelle: </w:t>
      </w:r>
      <w:r>
        <w:t>https://mcp.opencaselaw.ch/entscheid/ge_gerichte_ATAS_1154_2006</w:t>
      </w:r>
    </w:p>
    <w:p>
      <w:r>
        <w:t>FR: GE_GERICHTE ATAS/1154/2006 du 12 décembre 2006</w:t>
      </w:r>
    </w:p>
    <w:p>
      <w:r>
        <w:t>IT: GE_GERICHTE ATAS/1154/2006 del 12 dicembre 2006</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rPr>
          <w:b/>
        </w:rPr>
        <w:t>E. 2</w:t>
      </w:r>
    </w:p>
    <w:p>
      <w:r>
        <w:t>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3</w:t>
      </w:r>
    </w:p>
    <w:p>
      <w:r>
        <w:t>La LPGA est entrée en vigueur le 1er janvier 2003, entraînant des modifications législatives notamment dans le droit de l'assurance-invalidité. Du point de vue</w:t>
      </w:r>
    </w:p>
    <w:p>
      <w:r>
        <w:t>A/2877/2006 - 5/11 -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5 juillet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Déposé dans les formes et délai prévus par la loi, le présent recours est recevable (art. 60 LPGA).</w:t>
      </w:r>
    </w:p>
    <w:p>
      <w:r>
        <w:rPr>
          <w:b/>
        </w:rPr>
        <w:t>E. 5</w:t>
      </w:r>
    </w:p>
    <w:p>
      <w:r>
        <w:t>a) Le litige porte sur le point de savoir si les atteintes à la santé dont souffre le recourant ouvrent droit à des prestations de l'assurance-invalidité. b)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les art. 28 al. 1 LAI dans sa teneur en vigueur jusqu'au 31 décembre 2003 et 16 LPGA,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Par ailleurs,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t>A/2877/2006 - 6/11 -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w:t>
      </w:r>
    </w:p>
    <w:p>
      <w:r>
        <w:t>A/2877/2006 - 7/11 -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En l'occurrence, se trouvent au dossier : - un rapport du 22 février 2004 du Dr A__________, selon lequel l'incapacité dans la profession est totale depuis le 1er octobre 2002, mais une activité adaptée, en position assise pendant 8 heures par jour ou debout pendant 1 heure par jour (pas de position à genoux, accroupie, pas de travail en hauteur, pas de déplacements sur sol</w:t>
      </w:r>
    </w:p>
    <w:p>
      <w:r>
        <w:t>A/2877/2006 - 8/11 - irrégulier, pas port de charges et de mouvements pour se baisser), est possible après une AMO prévue prochainement, - un rapport du 14 juillet 2004 du Dr A__________ selon lequel l'état était stationnaire et sans changement ni amélioration depuis le 28 avril 2004, date de l'ablation du matériel d'ostéosynthèse, - un rapport du 22 octobre 2004 du Dr B__________, selon lequel l'assuré présente une capacité totale de travail, sans diminution de rendement, dans une activité adaptée tenant compte de ses limitations fonctionnelles (pas de stations debout prolongées, de marche prolongée, de port de charges, de positions accroupies ou à genoux, de montée d'échelles), - un rapport du 20 octobre 2005 du COPAI selon lequel il n'est actuellement pas envisageable de replacer l'assuré dans le circuit économique normal, en raison de ses limitations fonctionnelles et de ses plaintes souvent démonstratives. Il convient de constater que les conclusions du Dr B__________, dont le rapport a pleine valeur probante au vu des critères du Tribunal fédéral des assurances (ci- après le TFA), rejoignent celles du médecin traitant : le recourant présente une pleine capacité de travail dans une activité adaptée respectant ses limitations fonctionnelles. Il ne produit d'ailleurs aucune pièce médicale pouvant mettre en doute les conclusions du rapport du Dr B__________. En outre, selon la jurisprudence fédérale, les données médicales, qui permettent une appréciation objective du cas,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Partant, force est de constater que la capacité du recourant est entière dans une activité adaptée. Il convient par conséquent de procéder à la comparaison des gains avant et après invalidité afin de déterminer son degré d'invalidité.</w:t>
      </w:r>
    </w:p>
    <w:p>
      <w:r>
        <w:rPr>
          <w:b/>
        </w:rPr>
        <w:t>E. 7</w:t>
      </w:r>
    </w:p>
    <w:p>
      <w:r>
        <w:t>L'OCAI a procédé à cette comparaison des revenus, retenant cependant à tort l'année 2004 comme année de référence. Il a réduit le salaire d'invalide de 20%, compte tenu des limitations fonctionnelles du recourant, taux très généreux au regard de l'âge du recourant et de son taux de travail complet. Selon une attestation de l'employeur du 4 juin 2003, à l'attention de la SUVA, le recourant aurait gagné, en 2003, date de l'ouverture du droit à la rente, 28 fr. 50 de l'heure x 42,5 heures hebdomadaires x 8,33% (13ème salaire) x 52 semaines, soit 68'231 fr. 65. Pour le revenu d'invalide, le salaire de référence est celui auquel peuvent prétendre les hommes effectuant des activités simples et répétitives (niveau de qualification</w:t>
      </w:r>
    </w:p>
    <w:p>
      <w:r>
        <w:t>A/2877/2006 - 9/11 - 4) dans le secteur privé, à savoir 54'684 fr. par année (Enquête suisse sur la structure des salaires 2002, TA1, p. 43). Au regard du large éventail d'activités simples et répétitives que recouvrent les secteurs de la production et des services, on doit en effet convenir qu'un certain nombre d'entre elles sont légères et adaptées aux problèmes médicaux du recourant. Comme les salaires bruts standardisés tiennent compte d'un horaire de travail de 40 heures, soit une durée hebdomadaire inférieure à la moyenne usuelle dans les entreprises en 2002 (41,7 heures; La Vie économique, 10-2004, p. 90, B9.2), ce montant doit être porté à 57'008 fr. 05. Après adaptation de ce chiffre à l'évolution des salaires selon l'indice des salaires nominaux pour les hommes de l'année 2003 (1,4 %; La Vie économique, 10-2004, p. 91, B10.2), on obtient un revenu annuel de 57'806 fr. 20. Vu le jeune âge du recourant et ses handicaps, il ne se justifie pas de procéder à l'abattement maximum; le Tribunal de céans reprendra le taux de réduction retenu par l'OCAI, soit 20%. Il en résulte un revenu d'invalide de 46'244 fr. 95. La comparaison des revenus déterminants avant et après invalidité conduit ainsi à retenir un taux d’invalidité de 32,20 %, qui n'ouvre pas droit à une rente d'invalidité ([68'231 fr. 65 - 46'244 fr. 95] x 100 : 68'231 fr. 65 = 23,75) au-delà du 31 janvier 2005. Par ailleurs, il convient de relever que les activités prises en compte dans le revenu après invalidité ne nécessitent aucune formation, si ce n'est en entreprise et que dès lors le recourant n'a pas droit à des mesures de réadaptation professionnelle.</w:t>
      </w:r>
    </w:p>
    <w:p>
      <w:r>
        <w:rPr>
          <w:b/>
        </w:rPr>
        <w:t>E. 8</w:t>
      </w:r>
    </w:p>
    <w:p>
      <w:r>
        <w:t>Il reste à examiner son droit à une aide au placement. Le juge des assurances sociales doit prendre en considération les modifications du droit jusqu'à la date déterminante de la décision litigieuse - en l'espèce, la décision sur opposition du 5 juillet 2006 - (ATF 129 V 4 consid. 1.2 et les références). Or, l'art. 18 al. 1 LAI a été modifié lors de la 4ème révision de la LAI, entrée en vigueur le 1er janvier 2004. Aux termes du nouvel art. 18 al. 1 LAI,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ATFA non publié du 29 mars 2005, I 776/04). La nouvelle teneur de l'art. 18 al. 1 LAI a été adoptée par le Conseil national - suite au retrait d'une proposition plus contraignante encore pour les offices AI - sans discussion (BO CN 2001, p. 1935). Lors du plenum du</w:t>
      </w:r>
    </w:p>
    <w:p>
      <w:r>
        <w:t>A/2877/2006 - 10/11 - Conseil des États, la rapporteure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(cf. ATFA du 22 septembre 2005 I 54/05). Une aide au placement devra dès lors être accordée à l'assuré, qui n'est pas de langue maternelle française et présente des limitations fonctionnelles.</w:t>
      </w:r>
    </w:p>
    <w:p>
      <w:r>
        <w:rPr>
          <w:b/>
        </w:rPr>
        <w:t>E. 9</w:t>
      </w:r>
    </w:p>
    <w:p>
      <w:r>
        <w:t>Enfin, le recourant, obtenant très partiellement gain de cause, aura droit à des dépens. En outre, depuis le 1er juillet 2006, les procédures en matière d'assurance- invalidité sont soumises à émolument (art. 69 al. 1bis LAI).</w:t>
      </w:r>
    </w:p>
    <w:p>
      <w:r>
        <w:t>A/2877/2006 - 11/11 -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