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ATAS/1153/2011 vom 29. November 2011</w:t>
      </w:r>
    </w:p>
    <w:p>
      <w:r>
        <w:t>GE Cour de justice, 2011-11-29, FR</w:t>
      </w:r>
    </w:p>
    <w:p>
      <w:r>
        <w:rPr>
          <w:b/>
        </w:rPr>
        <w:t xml:space="preserve">Quelle: </w:t>
      </w:r>
      <w:r>
        <w:t>https://mcp.opencaselaw.ch/entscheid/ge_gerichte_ATAS_1153_2011</w:t>
      </w:r>
    </w:p>
    <w:p>
      <w:r>
        <w:t>FR: GE_GERICHTE ATAS/1153/2011 du 29 novembre 2011</w:t>
      </w:r>
    </w:p>
    <w:p>
      <w:r>
        <w:t>IT: GE_GERICHTE ATAS/1153/2011 del 29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Interjetés dans les forme et délai prévus par la loi, les trois recours sont recevables (art. 56 et 60 LPGA).</w:t>
      </w:r>
    </w:p>
    <w:p>
      <w:r>
        <w:rPr>
          <w:b/>
        </w:rPr>
        <w:t>E. 3</w:t>
      </w:r>
    </w:p>
    <w:p>
      <w:r>
        <w:t>Le litige porte sur la question du maintien d'une rente entière d'invalidité dont la recourante a droit dès le 31 août 2002 et de rentes complémentaires en faveur de ses enfants, singulièrement sur celle de savoir si l'état de santé de la recourante s'est amélioré au mois de juillet 2008 au point de ne plus présenter une invalidité ouvrant le droit aux prestations.</w:t>
      </w:r>
    </w:p>
    <w:p>
      <w:r>
        <w:rPr>
          <w:b/>
        </w:rPr>
        <w:t>E. 4</w:t>
      </w:r>
    </w:p>
    <w:p>
      <w:r>
        <w:t>a)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t>b) En cas d'allocation d'une rente dégressive ou temporaire, la date de la modification du droit (diminution ou suppression de la rente) doit être fixée</w:t>
      </w:r>
    </w:p>
    <w:p>
      <w:r>
        <w:t>A/1472/2009 - 25/32 -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a) En vertu de l'art. 28 al. 1 LAI, l'assuré a droit à une rente entière s'il est invalide à 70% au moins, à un trois quarts de rente s'il est invalide à 60% au moins, à une demi-rente s'il est invalide à 50% au moins, ou à un quart de rente s'il est invalide à 40% au moins.</w:t>
      </w:r>
    </w:p>
    <w:p>
      <w:r>
        <w:t>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w:t>
      </w:r>
    </w:p>
    <w:p>
      <w:r>
        <w:t>A/1472/2009 - 26/32 -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t>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w:t>
      </w:r>
    </w:p>
    <w:p>
      <w:r>
        <w:t>A/1472/2009 - 27/32 -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a) En l'espèce, il n'est pas contesté que, sans atteinte à sa santé, la part de l'activité professionnelle de la recourante aurait été de 75% et que, par conséquent, la part des travaux habituels aurait été de 25%.</w:t>
      </w:r>
    </w:p>
    <w:p>
      <w:r>
        <w:t>En revanche, la recourante critique le taux d'invalidité dans une activité lucrative de 21%, respectivement 0% retenu par l'Office AI à compter de juillet 2008, respectivement janvier 2009, ainsi que le taux de diminution de rendement de 10 % pris en compte (au lieu de 25 %) lors de l'estimation du gain réalisable avec invalidité, justifiant la suppression de son droit à une rente entière d'invalidité.</w:t>
      </w:r>
    </w:p>
    <w:p>
      <w:r>
        <w:t>b) Le dossier renferme différents avis médicaux au sujet de la capacité, respectivement incapacité de gain de la recourante et de sa survenance.</w:t>
      </w:r>
    </w:p>
    <w:p>
      <w:r>
        <w:t>Le rapport d'expertise du COMAI du 7 décembre 2005 permet de retenir qu'à cette date, la capacité de gain de la recourante ne s'était pas améliorée, puisqu'il y est indiqué que l'assurée demeurait inapte à exercer une quelconque activité. Cette inaptitude totale était justifiée essentiellement par les affections psychiques (trouble dépressif récurrent, épisode sévère sans symptôme psychotique).</w:t>
      </w:r>
    </w:p>
    <w:p>
      <w:r>
        <w:t>Dans le rapport du BREM du 29 novembre 2007 – qui remplit toutes les exigences formelles auxquelles la jurisprudence soumet la valeur probante d'un tel document (ATF 125 V 351 consid. 3a p. 352), puisqu'il a été établi sur la base du dossier médical complet, repose sur un examen approfondi, prend en considération les plaintes des la recourante et ses conclusions sont convaincantes –, les experts ont estimé que les affections psychiques dont souffrait la recourante (syndrome somatoforme douloureux persistant et dysthymie) n'avaient pas de répercussion sur la capacité de travail et qu'en raison des seules affections physiques, la recourante disposait d'une capacité de travail de 50% dans une activité adaptée à ses limitations fonctionnelles à compter du mois de juillet 2008 (soit à l'issue du congé</w:t>
      </w:r>
    </w:p>
    <w:p>
      <w:r>
        <w:t>A/1472/2009 - 28/32 - de maternité de 16 semaines), puis de 75% dès janvier 2009; ils ont exposé notamment que, contrairement aux experts du COMAI, ils n'avaient pas trouvé de signes cliniques parlant pour un trouble dépressif récurrent, épisode sévère sans symptôme psychotique, mais que l'assurée présentait une dysthymie. Il faut dès lors considérer que, postérieurement à l'expertise du COMAI, l'état de santé psychique de la recourante a connu une amélioration.</w:t>
      </w:r>
    </w:p>
    <w:p>
      <w:r>
        <w:t>L'avis des experts du BREM au sujet de l'aspect psychique a été corroboré par le rapport d'examen clinique psychiatrique du Dr C_________ du 9 décembre 2008, dont les conclusions résultent d'une analyse complète de l'aspect psychique des troubles dont souffre la recourante.</w:t>
      </w:r>
    </w:p>
    <w:p>
      <w:r>
        <w:t>En revanche, l'avis – divergent – du Dr C_________, psychiatre traitant de la recourante, et de Madame I_________, psychologue traitante, du 17 octobre 2008 n'est pas suffisamment détaillé et motivé pour remettre en cause valablement l'avis des experts du BREM au sujet de l'intensité de ses troubles psychiques. En réalité, les thérapeutes précités se limitent à exprimer un avis divergent, sans faire état d'éléments objectivement vérifiables – de nature clinique ou diagnostique – qui auraient été ignorés dans le cadre de l'expertise du BREM et suffisamment pertinents pour remettre en cause l'analyse approfondie de ce dernier. Leur audition par la Chambre de céans n'a non plus pas apporté d'élément nouveau de nature à remettre en cause le rapports d'expertise du BREM; s'il est exact que, pour la première fois, le Dr C_________ a déclaré avoir diagnostiqué des troubles anxieux généralisés avec des symptômes phobiques, il n'est pas moins vrai qu'invité par la Chambre de céans à décrire de manière détaillée ce qui, dans l'évolution de la recourante, pouvait être compatible avec ce nouveau diagnostic, le médecin précité s'est limité à exposer une nouvelle fois son appréciation du cas, sans toutefois mentionner les éléments lui permettant de retenir le diagnostic de troubles anxieux généralisés avec des symptômes phobiques. Cette seule allégation d'un nouveau diagnostic ne suffit ainsi pas à remettre en cause de l'analyse des médecins du BREM appuyée par celle du Dr C_________.</w:t>
      </w:r>
    </w:p>
    <w:p>
      <w:r>
        <w:t>De même, l'avis du Dr P__________ au sujet de l'aspect psychique n'est pas de nature à remettre en cause les conclusion des experts du BREM et du Dr C_________, dans la mesure où, non spécialiste en psychiatrie, il a délégué cet aspect à d'autres médecins ou thérapeutes et qu'en particulier, il ne fait pas état d'éléments objectivement vérifiables – de nature clinique ou diagnostique – qui auraient été ignorés par les experts précités et seraient suffisamment pertinents pour remettre en cause leur analyse.</w:t>
      </w:r>
    </w:p>
    <w:p>
      <w:r>
        <w:t>Enfin, en ce qui concerne l'aspect somatique et contrairement à ce que soutient la recourante, le rapport du Dr D_________ du 29 janvier 2009 ne permet pas de retenir une péjoration de son état à compter du mois de juillet 2008. En effet, le médecin s'est limité à conclure à une péjoration de l'état de la recourante par rapport</w:t>
      </w:r>
    </w:p>
    <w:p>
      <w:r>
        <w:t>A/1472/2009 - 29/32 - à septembre 2001, sans dire quand elle est intervenue. En d'autres termes, son rapport n'est pas incompatible avec l'avis des experts du BREM à ce sujet.</w:t>
      </w:r>
    </w:p>
    <w:p>
      <w:r>
        <w:t>Au bénéfice des explications qui précèdent, la Chambre de céans fait siennes les conclusions du rapport d'expertise du BREM du 29 novembre 2007, en particulier au sujet d'une amélioration de l'état de santé de la recourante à compter du mois de juillet 2008 et de sa capacité à travailler dans une activité adaptée à 50% de juillet 2008 à décembre 2008, puis à 75% dès janvier 2009.</w:t>
      </w:r>
    </w:p>
    <w:p>
      <w:r>
        <w:t>Compte tenu de l'art. 28a al. 1 RAI, ce n'est qu'à partir du mois d'octobre 2008 qu'une éventuelle diminution voire une suppression de la rente entière d'invalidité ne pouvait être envisagée.</w:t>
      </w:r>
    </w:p>
    <w:p>
      <w:r>
        <w:rPr>
          <w:b/>
        </w:rPr>
        <w:t>E. 8</w:t>
      </w:r>
    </w:p>
    <w:p>
      <w:r>
        <w:t>a)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sans invalidité).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p. 157) - est comparé au gain hypothétique qu'elle pourrait obtenir sur un marché équilibré du travail en mettant pleinement à profit sa capacité résiduelle dans un emploi adapté à son handicap (ATF 125 V 146 consid. 5a p. 154).</w:t>
      </w:r>
    </w:p>
    <w:p>
      <w:r>
        <w:t>b)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w:t>
      </w:r>
    </w:p>
    <w:p>
      <w:r>
        <w:t>A/1472/2009 - 30/32 -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ATF non publié du 20 janvier 2010, 9C_377/2009, consid. 4.2).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w:t>
      </w:r>
    </w:p>
    <w:p>
      <w:r>
        <w:rPr>
          <w:b/>
        </w:rPr>
        <w:t>E. 9</w:t>
      </w:r>
    </w:p>
    <w:p>
      <w:r>
        <w:t>En l'espèce, l'Office AI a commencé par déterminer le revenu d'invalide exigible à 23'894 fr. (avec une capacité résiduelle de 50%), respectivement 32'257 fr. (avec une capacité résiduelle de 75%), en se basant sur l'Enquête suisse sur la structure des salaires 2002, TA1, niveau 4, pour une femme, ligne «total», avec une baisse de rendement de 10%, puis l'a comparé à un revenu sans invalidité de 30'394 fr. Il en a conclu qu'il y avait 21% d'invalidité (avec une capacité résiduelle de 50%), respectivement une absence de perte de gain (avec une capacité résiduelle de 75%). En tenant compte d'un empêchement dans la tenue du ménage était de 50.15%, l'intimé a conclu que le degré d'invalidité résultant des deux domaines était de 28.8% arrondi à 29% (21% pour l'activité professionnelle et 12.5% [50.1% de 25%] comme femme de ménage), respectivement 12.5% arrondi à 13% (0% pour l'activité professionnelle et 12.5% comme femme de ménage). Par rapport à ce calcul, la recourante reproche à l'Office AI d'avoir pris en compte, dans la détermination du revenu avec invalidité, un taux de rendement de 10% seulement au lieu de 25%. Elle soutient que compte tenu des limitations liées à ses divers handicaps, de son âge (47 ans), de sa nationalité, de son taux d'occupation réduit, du fait que seule une activité légère serait théoriquement envisageable, une déduction de 25% sur le salaire aurait dû être prise en considération.</w:t>
      </w:r>
    </w:p>
    <w:p>
      <w:r>
        <w:t>A/1472/2009 - 31/32 - L'Office AI a motivé le taux de réduction de 10% par l'importance des limitations fonctionnelles de la recourante. Si c'est à juste titre que l'intimé n'a pas pris en compte l'âge (47 ans) de la recourante (VSI 1999 p. 246 consid. 4C; M. Valterio, Droit de l'assurance-vieillesse et survivants et de l'assurance-invalidité, Genève Bâle Zurich 2011, n° 2135), la Chambre de céans est d'avis qu'il aurait également dû tenir compte de la méconnaissance du français de la recourante, ce qui aurait dû l'amener à prendre en compte une réduction de 15%. Cependant, même en prenant en compte une baisse de rendement de 15%, le taux d'invalidité global n'atteint pas 40%. En effet, réduits de 15%, les revenus avec invalidité de 22'567 fr. (pour une activité à 50%) et de 30'465 fr. (pour une activité à 75%) entraînent une invalidité de 25.8% arrondis à 26% (pour une activité à 50%), respectivement de 0% (pour une activité à 75%); le degré d'invalidité résultant de l'activité professionnelle (26.8%, respectivement 0%) et de l'activité ménagère (12.5%) est dans les deux cas inférieur à 40% (38.3%, respectivement 12.5%). En définitive, la Chambre de céans retiendra que le degré d'invalidité de la recourante s'élevait effectivement à un taux inférieur à 40% à compter du mois de juillet 2008, ce qui justifiait la suppression de sa rente entière d'invalidité – et des rentes complémentaires y relatives – à compter du mois d'octobre 2008 et non pas déjà du mois de juillet 2008 comme retenu par l'intimé. Ses décisions devront être modifiées dans ce sens.</w:t>
      </w:r>
    </w:p>
    <w:p>
      <w:r>
        <w:rPr>
          <w:b/>
        </w:rPr>
        <w:t>E. 10</w:t>
      </w:r>
    </w:p>
    <w:p>
      <w:r>
        <w:t>La recourante, qui obtient partiellement gain de cause pour un motif qu'elle n'a pas soulevé, a droit à une indemnité à titre de participation à ses frais et dépens, que le Tribunal fixe en l'espèce à 1'000 fr. (art. 61 let. g LPGA).</w:t>
      </w:r>
    </w:p>
    <w:p>
      <w:r>
        <w:t>A/1472/2009 - 32/32 -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