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ATAS/1152/2022 vom 21. Dezember 2022</w:t>
      </w:r>
    </w:p>
    <w:p>
      <w:r>
        <w:t>GE Cour de justice, 2022-12-21, FR</w:t>
      </w:r>
    </w:p>
    <w:p>
      <w:r>
        <w:rPr>
          <w:b/>
        </w:rPr>
        <w:t xml:space="preserve">Quelle: </w:t>
      </w:r>
      <w:r>
        <w:t>https://mcp.opencaselaw.ch/entscheid/ge_gerichte_ATAS_1152_2022</w:t>
      </w:r>
    </w:p>
    <w:p>
      <w:r>
        <w:t>FR: GE_GERICHTE ATAS/1152/2022 du 21 décembre 2022</w:t>
      </w:r>
    </w:p>
    <w:p>
      <w:r>
        <w:t>IT: GE_GERICHTE ATAS/1152/2022 del 21 dicembre 2022</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recours porte sur le droit à une rente d'invalidité à partir du 1er mars 2021 et sur la quotité de l'indemnité pour atteinte à l'intégrité.</w:t>
      </w:r>
    </w:p>
    <w:p>
      <w:r>
        <w:rPr>
          <w:b/>
        </w:rPr>
        <w:t>E. 5</w:t>
      </w:r>
    </w:p>
    <w:p>
      <w:r>
        <w:t>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Auparavant, en vertu de l'art 16 LAA, l'assuré totalement ou partiellement incapable de travailler à la suite d’un accident a droit à une indemnité journalière (al. 1). Ce droit naît le troisième jour qui suit celui de l’accident et s’éteint dès que l’assuré a recouvré sa pleine capacité de travail, dès qu’une rente est versée ou dès que l’assuré décède (al. 2).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w:t>
      </w:r>
    </w:p>
    <w:p>
      <w:r>
        <w:rPr>
          <w:b/>
        </w:rPr>
        <w:t>E. 6</w:t>
      </w:r>
    </w:p>
    <w:p>
      <w:r>
        <w:t>a. La plupart des éventualités assurées (par exemple la maladie, l'accident, l'incapacité de travail, l'invalidité, l'atteinte à l'intégrité physique ou mentale)</w:t>
      </w:r>
    </w:p>
    <w:p>
      <w:r>
        <w:t>__________________________________________________________________________________________________________</w:t>
      </w:r>
    </w:p>
    <w:p>
      <w:r>
        <w:t>A/4070/2021 - 7/13 -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Le recourant conteste que son état de santé soit stabilisé, mais n'en tire pas les conséquences juridiques, en réclamant le paiement d'indemnités journalières, au</w:t>
      </w:r>
    </w:p>
    <w:p>
      <w:r>
        <w:t>__________________________________________________________________________________________________________</w:t>
      </w:r>
    </w:p>
    <w:p>
      <w:r>
        <w:t>A/4070/2021 - 8/13 - lieu d'une rente, étant rappelé que le droit à une rente n'entre en ligne de compte que dès qu’il n’y a plus lieu d’attendre de la continuation du traitement médical une sensible amélioration de l’état de l’assuré, en d'autres termes dès que l'état de santé est stabilisé. En réclamant une rente, il admet implicitement que l'état est stabilisé. Quoi qu'il en soit, le recourant n'a pas établi qu'une nouvelle intervention chirurgicale est planifiée, de sorte que celle-ci reste au stade d'hypothèse. Le médecin d'arrondissement considère dans son rapport du 1er octobre 2020 que le cas est stabilisé, dès lors qu'aucune mesure interventionnelle au niveau du pied n'est envisagée. Cela résulte également du rapport du 6 octobre 2020 de la consultation du pied des HUG, lequel ne mentionne aucun nouveau traitement si ce n'est qu'une consultation de la douleur. Le recourant ne produit aucune pièce médicale établissant le contraire. Les traitements étant ainsi terminés, c'est à raison que l'intimée a constaté la stabilisation de l'état de santé.</w:t>
      </w:r>
    </w:p>
    <w:p>
      <w:r>
        <w:rPr>
          <w:b/>
        </w:rPr>
        <w:t>E. 9</w:t>
      </w:r>
    </w:p>
    <w:p>
      <w:r>
        <w:t>Cela étant, il sied d'examiner si le recourant peut prétendre à une rente d'invalidité dès le 1er mars 2021. Le recourant conteste en premier lieu disposer d'une capacité de travail à 100% dans une activité adaptée, en alléguant qu'il subit une diminution de rendement. C'est la raison pour laquelle il requiert la mise en œuvre d'une expertise médicale. Les médecins sont unanimes à conclure à une capacité de travail entière dans une activité sédentaire respectant les limitations fonctionnelles énoncées par le médecin d'arrondissement de la SUVA (cf. rapports des Drs C______ du 9 juin 2020 et D______ du 30 juin 2020, ainsi que du SMR du 15 janvier 2019). Aucun des médecins consultés ne fait état d'une diminution de rendement. Par ailleurs, le recourant ne précise pas pourquoi il ne pourrait pas être totalement performant dans une activité sédentaire, alors qu'il n'y a aucune limitation pour une activité assise ni pour ses membres supérieurs. Dans ces conditions, le recourant n'a pas rendu vraisemblable une possible diminution de rendement, permettant de douter des appréciations médicales, de sorte qu'il a lieu de s’en tenir à la capacité de travail entière retenue par les médecins consultés. En l'absence d'indices mettant en doute les rapports précités, il ne sera pas donné suite à sa demande d'expertise judiciaire et de l'audition de son médecin traitant.</w:t>
      </w:r>
    </w:p>
    <w:p>
      <w:r>
        <w:rPr>
          <w:b/>
        </w:rPr>
        <w:t>E. 10</w:t>
      </w:r>
    </w:p>
    <w:p>
      <w:r>
        <w:t>Partant, il convient de calculer la perte de gain dans l'exercice d'une activité adaptée.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w:t>
      </w:r>
    </w:p>
    <w:p>
      <w:r>
        <w:t>__________________________________________________________________________________________________________</w:t>
      </w:r>
    </w:p>
    <w:p>
      <w:r>
        <w:t>A/4070/2021 - 9/13 -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b. Il convient de se fonder, en règle générale, sur les salaires mensuels indiqués dans la table ESS (Enquête suisse des salaires)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y a lieu de se référer à la version de l'ESS publiée au moment déterminant de la décision querellée (ATF 143 V 295 consid. 4 ; arrêt du Tribunal fédéral 8C_655/2016 du 4 août 2017 consid. 6.3). A cet égard, l’ESS 2018 a été publiée le 21 avril 2020.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w:t>
      </w:r>
    </w:p>
    <w:p>
      <w:r>
        <w:rPr>
          <w:b/>
        </w:rPr>
        <w:t>E. 11</w:t>
      </w:r>
    </w:p>
    <w:p>
      <w:r>
        <w:t>En l'espèce, le recourant ne met pas en cause le revenu sans invalidité retenu par l'intimée de CHF 59'197.20. Il s'avère toutefois que l'intimée a diminué ce revenu à tort de 0,3% pour tenir compte des données les plus récentes de l'évolution des</w:t>
      </w:r>
    </w:p>
    <w:p>
      <w:r>
        <w:t>__________________________________________________________________________________________________________</w:t>
      </w:r>
    </w:p>
    <w:p>
      <w:r>
        <w:t>A/4070/2021 - 10/13 - salaires en 2021. En effet, il paraît invraisemblable que le salaire du recourant aurait diminué dans son ancien emploi. Partant, un salaire de valide de CHF 59'375.35 doit être retenu, sur la base d'une indexation de 2013 à 2020. Quant au revenu d'invalide, il a été déterminé conformément à la jurisprudence en la matière précitée sur la base du tableau ESS TA1_tirage_skill_level pour le secteur privé. Certes, il est possible de se référer dans certains cas aux salaires mensuels de secteurs ou branches particuliers. Cela est admis notamment lorsque l'assuré a travaillé avant l'atteinte à la santé dans un domaine pendant de nombreuses années et qu'une acticité dans un autre domaine n'entre pas en ligne de compte. On peut aussi se référer à la table TA7 (secteur privé et secteur public), si cela permet de fixer plus précisément le revenu d'invalide et que le secteur en question est adapté et exigible (arrêt du Tribunal fédéral 9C_142/2009 du 20 novembre 2009 consid. 4.1). In casu, le recourant ne peut pas continuer à travailler dans le secteur du nettoyage. Par contre, d'autres domaines d'activité lui sont ouverts, pour autant qu'il puisse travailler en position assise. C'est ainsi à raison que l'intimée s'est référée aux salaires de toutes les branches confondues. Par ailleurs, la référence aux salaires dans le secteur privé et public n'est pas adaptée, dans la mesure où le secteur public n'offre que peu de travaux manuels par rapport au secteur privé. L'intimée a toutefois retenu un gain d'invalide trop élevé dans la décision querellée. En effet, alors même qu'elle a ajusté vers le bas le salaire de valide, à tort, en raison des données plus récentes faisant apparaître une indexation négative de 0,3% pour 2021, il n'en a pas tenu compte pour le revenu d'invalide. En tenant compte de cette évolution négative, le gain d'invalide s'établit à CHF 68'716.80, après ajustement du salaire statistique ressortant des ESS 2018, de CHF 65'004.-, à la moyenne de 41,7 heures de la durée hebdomadaire du travail et à l'évolution des salaires jusqu'en 2021 (+ 0,9% pour 2019, +0,8% pour 2020 et – 0,3% pour 2021). En ce que le recourant estime qu'il doit être tenu compte, pour le salaire statistique retenu à titre de gain d'invalide, d'un abattement de 20%, cette question peut rester ouverte. En effet même en diminuant le revenu d'invalide de CHF 68'716.80 de 20%, ce qui donne un gain de CHF 54'973.44, la perte de gain ne serait que de 7,4% par rapport au gain de valide de CHF 59'375.35 et reste donc inférieur au taux de 10% donnant droit à une rente. Il est à noter à cet égard que l'OAI a également établi le taux d'invalidité à moins de 10% (9%). Partant, le recourant ne peut prétendre à une rente.</w:t>
      </w:r>
    </w:p>
    <w:p>
      <w:r>
        <w:rPr>
          <w:b/>
        </w:rPr>
        <w:t>E. 12</w:t>
      </w:r>
    </w:p>
    <w:p>
      <w:r>
        <w:t>Reste à déterminer le taux de l'indemnité pour atteinte à l'intégrité. a. Aux termes de l'art. 24 LAA, si par suite d'un accident, l'assuré souffre d'une atteinte importante et durable à son intégrité physique, mentale ou psychique, il a droit à une indemnité équitable pour atteinte à l'intégrité (al. 1).</w:t>
      </w:r>
    </w:p>
    <w:p>
      <w:r>
        <w:t>__________________________________________________________________________________________________________</w:t>
      </w:r>
    </w:p>
    <w:p>
      <w:r>
        <w:t>A/4070/2021 - 11/13 - L’annexe 3 à l'ordonnance sur l'assurance-accidents du 20 décembre 1982 (OLAA - RS 832.202) comporte un barème – reconnu conforme à la loi et non exhaustif (ATF 113 V 218 consid. 2a; RAMA 1988 p. 236) – des lésions fréquentes et caractéristiques, évaluées en pour cent (ATF 124 V 209 consid. 4bb).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b. En l'espèce, le Dr D______ évalue dans son appréciation médicale du 1er octobre 2020 le taux de l'atteinte à l'intégrité résultant d'une arthrose à 20% pour l'arthrodèse de la cheville à droite et à 10% pour l'arthrose moyenne-grave de l'articulation du Chopart à gauche, soit au total à 30%. Le recourant réclame une indemnité à ce titre de 40%, en faisant valoir qu'il est atteint d'arthroses au niveau des deux pieds et qu'il a subi une arthrodèse à la cheville droite. Il est prévisible qu'une nouvelle greffe osseuse soit nécessaire. Il ressort de l'appréciation précitée du Dr D______ que celui-ci a tenu compte et des arthroses aux deux pieds et de l'arthrodèse. Cela est conforme à la table 5.2 relative aux taux d'atteinte à l'intégrité résultant d'arthroses. Cette table prévoit pour une arthrose de toute la cheville un taux d'indemnité de 10 à 30% en cas d'arthrose moyenne, de 30 à 40% en cas d'arthrose grave et de 20% en cas de résection ou d'arthrodèse. Selon les explications figurant dans cette table, il n'y a pas de cumul des taux en règle générale et, pour les arthroses ayant fait l'objet d'une résection et d'une arthrodèse, le taux relatif à la résection ou à l'arthrodèse demeure applicable. Partant, c'est à raison que le Dr D______ évalue le taux de l'atteinte pour l'arthrose à la cheville droite à 20% et n'a pas cumulé ce taux avec ceux prévus pour les arthroses avant cette intervention. Pour l'arthrose de l'articulation de Chopart, ladite table prévoit un taux de 5 à 10% pour les arthroses moyennes et de 10 à 20% pour les arthroses graves. En l'occurrence, le Dr D______ considère que l'arthrose de la cheville gauche est de moyenne à grave. Partant, en ce qu'il évalue le taux à 10%, son appréciation n'est pas critiquable.</w:t>
      </w:r>
    </w:p>
    <w:p>
      <w:r>
        <w:t>__________________________________________________________________________________________________________</w:t>
      </w:r>
    </w:p>
    <w:p>
      <w:r>
        <w:t>A/4070/2021 - 12/13 - Il n'y a pas de pièce médicale rendant vraisemblable une nouvelle intervention aux pieds. En l'absence d'un avis médical contraire à celui du Dr D______ et d'autres indices permettant de douter de son appréciation, la chambre de céans ne juge pas nécessaire de demander une expertise sur ce point. Cela étant, il convient d'admettre que l'appréciation de l'indemnité pour atteinte à l'intégrité par l'intimée est conforme au droit au degré de la vraisemblance prépondérante.</w:t>
      </w:r>
    </w:p>
    <w:p>
      <w:r>
        <w:rPr>
          <w:b/>
        </w:rPr>
        <w:t>E. 13</w:t>
      </w:r>
    </w:p>
    <w:p>
      <w:r>
        <w:t>Le recourant conclut enfin au retrait de la pièce 177 du dossier de la SUVA, dans la mesure où celle-ci ne le concerne pas. La page 2 de cette pièce concerne un certificat médical établi pour une autre personne que le recourant et donc un autre dossier. Partant il sera donné suite à la requête du recourant sur ce point.</w:t>
      </w:r>
    </w:p>
    <w:p>
      <w:r>
        <w:rPr>
          <w:b/>
        </w:rPr>
        <w:t>E. 14</w:t>
      </w:r>
    </w:p>
    <w:p>
      <w:r>
        <w:t>Au vu de ce qui précède, le recours sera rejeté sur le fond.</w:t>
      </w:r>
    </w:p>
    <w:p>
      <w:r>
        <w:rPr>
          <w:b/>
        </w:rPr>
        <w:t>E. 15</w:t>
      </w:r>
    </w:p>
    <w:p>
      <w:r>
        <w:t>La procédure est gratuite.</w:t>
      </w:r>
    </w:p>
    <w:p>
      <w:r>
        <w:t>__________________________________________________________________________________________________________</w:t>
      </w:r>
    </w:p>
    <w:p>
      <w:r>
        <w:t>A/4070/2021 - 13/13 -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