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ATAS/1152/2012 vom 24. September 2012</w:t>
      </w:r>
    </w:p>
    <w:p>
      <w:r>
        <w:t>GE Cour de justice, 2012-09-24, FR</w:t>
      </w:r>
    </w:p>
    <w:p>
      <w:r>
        <w:rPr>
          <w:b/>
        </w:rPr>
        <w:t xml:space="preserve">Quelle: </w:t>
      </w:r>
      <w:r>
        <w:t>https://mcp.opencaselaw.ch/entscheid/ge_gerichte_ATAS_1152_2012</w:t>
      </w:r>
    </w:p>
    <w:p>
      <w:r>
        <w:t>FR: GE_GERICHTE ATAS/1152/2012 du 24 septembre 2012</w:t>
      </w:r>
    </w:p>
    <w:p>
      <w:r>
        <w:t>IT: GE_GERICHTE ATAS/1152/2012 del 24 settembre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à l'encontre d'une décision de refus d'entrer en matière sur une requête en reconsidération, le recours ne peut qu'être déclaré irrecevable, dès lors que selon la jurisprudence du Tribunal fédéral, ni l'assuré ni le juge ne peuvent contraindre l'administration à une reconsidération (art. 53 al. 2 LPGA) de sorte qu'une décision portant sur un refus d'entrer en matière sur une demande de reconsidération ne peut pas faire l'objet d'un contrôle en justice (ATF 133 V 50).</w:t>
      </w:r>
    </w:p>
    <w:p>
      <w:r>
        <w:rPr>
          <w:b/>
        </w:rPr>
        <w:t>E. 3</w:t>
      </w:r>
    </w:p>
    <w:p>
      <w:r>
        <w:t>La Cour de céans relève cependant que l'assurée s'est adressée le 3 septembre 2012 à la caisse aux fins d'obtenir un entretien en indiquant qu'elle souhaitait vivement être entendue de sorte qu'il incombera à la caisse de donner une réponse à la recourante sur ce point.</w:t>
      </w:r>
    </w:p>
    <w:p>
      <w:r>
        <w:t>A/2664/2012 - 4/4 -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