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ATAS/1152/2008 vom 15. Oktober 2008</w:t>
      </w:r>
    </w:p>
    <w:p>
      <w:r>
        <w:t>GE Cour de justice, 2008-10-15, FR</w:t>
      </w:r>
    </w:p>
    <w:p>
      <w:r>
        <w:rPr>
          <w:b/>
        </w:rPr>
        <w:t xml:space="preserve">Quelle: </w:t>
      </w:r>
      <w:r>
        <w:t>https://mcp.opencaselaw.ch/entscheid/ge_gerichte_ATAS_1152_2008</w:t>
      </w:r>
    </w:p>
    <w:p>
      <w:r>
        <w:t>FR: GE_GERICHTE ATAS/1152/2008 du 15 octobre 2008</w:t>
      </w:r>
    </w:p>
    <w:p>
      <w:r>
        <w:t>IT: GE_GERICHTE ATAS/1152/2008 del 15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w:t>
      </w:r>
    </w:p>
    <w:p>
      <w:r>
        <w:t>A/2118/2008 - 6/10 - Le présent cas est soumis au nouveau droit, dès lors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n'ont pas à être prises en considération dans le présent litige, l'état de fait dont les conséquences juridiques font l'objet de la décision dont est recours étant antérieur.</w:t>
      </w:r>
    </w:p>
    <w:p>
      <w:r>
        <w:rPr>
          <w:b/>
        </w:rPr>
        <w:t>E. 3</w:t>
      </w:r>
    </w:p>
    <w:p>
      <w:r>
        <w:t>Déposé dans les formes et délai prévus par la loi, le présent recours est recevable (art. 60 LPGA).</w:t>
      </w:r>
    </w:p>
    <w:p>
      <w:r>
        <w:rPr>
          <w:b/>
        </w:rPr>
        <w:t>E. 4</w:t>
      </w:r>
    </w:p>
    <w:p>
      <w:r>
        <w:t>a) Il convient en l’occurrence de déterminer si la décision initiale de l’OCAI (octroi d’une demi-rente d’invalidité en février 2002) doit être confirmée par la voie de la révision ou si une modification notable de l'état de santé depuis l'octroi de cette demi-rente s'est produite, ayant une influence sur le droit à la rente.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Ces données médicales permettent généralement une appréciation objective du cas. c) Parmi les atteintes à la santé psychique, qui peuvent, comme les atteintes physiques, provoquer une invalidité au sens de l'art. 4 al. 1 LAI en liaison avec l'art.</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w:t>
      </w:r>
    </w:p>
    <w:p>
      <w:r>
        <w:t>A/2118/2008 - 7/10 -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d)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f)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A/2118/2008 - 8/10 -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5. Se trouvent au dossier différents rapports des médecins traitants et un examen du SMR d'octobre 2002. Lors de la procédure d'instruction en vue d'établir le degré d'invalidité de la recourante, ses médecins traitants, psychiatre et spécialiste en médecine interne, avaient diagnostiqué une fibromyalgie et un état dépressivo-anxieux. Selon les Drs A__________ et B__________, l'incapacité de travail était de 50 %. La recourante avait alors été soumise à un examen psychiatrique, conduit par la Dresse C__________ du SMR. Ce médecin avait diagnostiqué un syndrome douloureux somatoforme persistant avec attaques de panique et agoraphobie chez une personnalité émotionnellement labile, type borderline, avec des traits paranoïaques. La capacité de travail s'élevait à 50 % dans l'activité habituelle. Faisant suite à ces rapports, l'OCAI a octroyé à l'assurée une demi-rente d'invalidité avec effet au 1er février 2002. Initiant une procédure de révision en décembre 2005, l'OCAI a rassemblé de nouveaux certificats médicaux, établis par les médecins traitants de l'assurée. En janvier 2006 et en novembre 2007, le Dr D__________ a indiqué que l'état de santé de la patiente était stationnaire. Le Dr E__________ a mentionné en mai 2006 que l'incapacité de travail était de 50 % depuis mai 2003 et que l'état de santé était stationnaire. La Dresse G__________, nouvelle psychiatre traitante, a relevé, en septembre 2006, que de nouveaux diagnostics avaient été posés, soit un trouble bipolaire et un syndrome d'hyperactivité de l'adulte. Les diagnostics de troubles somatoformes non spécifiques, de troubles de l'anxiété généralisée et de troubles du sommeil avec insomnie restaient inchangés. La patiente présentait également un trouble de la personnalité sous forme d'état limite. L'état de santé était stationnaire et l'incapacité de travail totale depuis l'octroi de la rente d'invalidité. En avril 2007, ce médecin a indiqué que l'état de santé était stable depuis octobre 2006. En janvier 2008, la Dresse G__________ précisé qu'il n'existait ni aggravation ni amélioration</w:t>
      </w:r>
    </w:p>
    <w:p>
      <w:r>
        <w:t>A/2118/2008 - 9/10 - de l'état de santé par rapport en 2002, mais qu'à cette époque le diagnostic posé était faux. À partir du moment où le diagnostic avait été correctement établi (août 2006 s'agissant de l'hyperactivité - discrète - et novembre 2006 s'agissant du trouble bipolaire), la patiente avait pu bénéficier d'un traitement correct. Les seules limitations fonctionnelles psychiatriques qui justifieraient dès lors une éventuelle augmentation de l'incapacité de travail depuis 2002 étaient la nécessité de stabiliser le traitement. Cependant, ce médecin a précisé que le cas étant actuellement objectivé, une possibilité de réintégration progressive était possible, si la réponse au traitement était favorable, ce qui était le cas (introduction de Lamictal, puis de Ritaline avec une réponse très satisfaisante en ce qui concernait le trouble bipolaire et l'hyperactivité). En mars 2008, ce médecin a précisé que l'on pouvait s'attendre à une reprise de l'activité professionnelle avec des variations. Il était impossible de déterminer le pourcentage car celui-ci dépendrait de la variabilité de l'humeur. Elle a également indiqué que, comme tout syndrome bipolaire, il existait une instabilité psychique qui ne permettait pas de garantir une constance dans une activité quelle qu'elle soit. Par ailleurs, l'examen neuropsychologique n'a pas mis en évidence un état pathologique. Les capacités attentionnelles, la mémoire, la concentration et l'autocontrôle ne sont notamment pas atteints, selon le rapport du 4 août 2006 relatif à cet examen. Ainsi, il ressort des rapports médicaux que les médecins non psychiatres estiment l'état de santé de la recourante stationnaire. Il n'y a selon eux ni aggravation ni amélioration de l'état de santé. Quant à la nouvelle psychiatre traitante, elle constate elle aussi sans ambiguïté que la patiente ne présente pas de modification de son état, soit qu'aucune péjoration ou amélioration ne sont à signaler, malgré les nouveaux diagnostics posés. Elle expose que les seules limitations fonctionnelles psychiatriques qui justifieraient une augmentation de l'incapacité de travail depuis 2002 - reconnaissant implicitement que sa patiente présente une capacité de travail de 50% - serait la nécessité de stabiliser le traitement, tout en précisant que la réponse aux nouveaux traitements est très satisfaisante. Dès lors, il convient de conclure avec l'ensemble des médecins traitants de la recourante, compte tenu notamment aussi de l'examen neuropsychologique, que son état de santé est stationnaire depuis l'octroi de la rente initiale et qu'il n'y a dès lors pas lieu d'augmenter le taux de celle-ci. 6. Au vu de ce qui précède, le recours sera être rejeté. 7. La recourante succombant, elle sera condamnée au paiement d'un émolument de justice de 200 fr.</w:t>
      </w:r>
    </w:p>
    <w:p>
      <w:r>
        <w:t>A/2118/2008 - 10/10 -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