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ATAS/1151/2018 vom 12. Dezember 2018</w:t>
      </w:r>
    </w:p>
    <w:p>
      <w:r>
        <w:t>GE Cour de justice, 2018-12-12, FR</w:t>
      </w:r>
    </w:p>
    <w:p>
      <w:r>
        <w:rPr>
          <w:b/>
        </w:rPr>
        <w:t xml:space="preserve">Quelle: </w:t>
      </w:r>
      <w:r>
        <w:t>https://mcp.opencaselaw.ch/entscheid/ge_gerichte_ATAS_1151_2018</w:t>
      </w:r>
    </w:p>
    <w:p>
      <w:r>
        <w:t>FR: GE_GERICHTE ATAS/1151/2018 du 12 décembre 2018</w:t>
      </w:r>
    </w:p>
    <w:p>
      <w:r>
        <w:t>IT: GE_GERICHTE ATAS/1151/2018 del 12 dicembre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60 LPGA; et sur le plan cantonal, par renvoi de l'art. 61 LPGA, art. 62 al. 1 de la de loi sur la procédure administrative du 12 septembre 1985 [LPA - E 5 10]). Interjeté dans la forme et le délai prévus par la loi, le recours est recevable (art. 56 ss LPGA et 62, 89Ass LPA), sous réserve de ce qui sera dit plus loin au sujet des conclusions constatatoires.</w:t>
      </w:r>
    </w:p>
    <w:p>
      <w:r>
        <w:rPr>
          <w:b/>
        </w:rPr>
        <w:t>E. 3</w:t>
      </w:r>
    </w:p>
    <w:p>
      <w:r>
        <w:t>Le litige porte sur le droit de la recourante à une rente de l'assurance-invalidité, à dater du 1er janvier 2016 (premier jour du mois au cours duquel le délai d'attente d'une année est arrivé à échéance), et en particulier au-delà du 1er juin 2016.</w:t>
      </w:r>
    </w:p>
    <w:p>
      <w:r>
        <w:rPr>
          <w:b/>
        </w:rPr>
        <w:t>E. 4</w:t>
      </w:r>
    </w:p>
    <w:p>
      <w:r>
        <w:t>Compte tenu de la date de la décision administrative en cause, qui détermine l'application dans le temps des règles légales au présent litige (ATF 130 V 447 consid. 1.2.1; ATF 127 V 467 consid. 1), il n'y a pas lieu de tenir compte de la</w:t>
      </w:r>
    </w:p>
    <w:p>
      <w:r>
        <w:t>A/3326/2017 - 22/39 -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du règlement du 17 janvier 1961 sur l’assurance-invalidité (RAI - RS 831.201) dans sa teneur du 1er décembre 2017 n’est applicable, eu égard au traitement uniforme et égal des assurés, qu’à partir de l’entrée en vigueur de cette modification (arrêt du Tribunal fédéral 9C_553/2017 du 18 décembre 2017 consid. 5 et 6.2). En vertu des dispositions transitoires de la modification du 1er décembre 2017, lorsque l'octroi d'une rente a été refusé avant l'entrée en vigueur de la modification du 1er décembre 2017 du RAI parce que le taux d'invalidité était insuffisant, à un assuré qui exerce une activité lucrative à temps partiel et accomplit par ailleurs des travaux habituels visés à l'art. 7, al. 2, LAI, une nouvelle demande est examinée s'il paraît vraisemblable que le calcul du taux d'invalidité conformément à l'art. 27bis, al. 2 à 4, aboutira à la reconnaissance d'un droit à la rente (al. 2).</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5.1</w:t>
      </w:r>
    </w:p>
    <w:p>
      <w:r>
        <w:t>et 5.2). 14.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 ch. 3095 de la circulaire concernant l'invalidité et l'impotence de l'assurance-invalidité. Aux conditions posées par la jurisprudence (ATF 128 V 93) une telle enquête a valeur probante. b.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w:t>
      </w:r>
    </w:p>
    <w:p>
      <w:r>
        <w:t>A/3326/2017 - 28/39 -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15.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16.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A/3326/2017 - 23/39 -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t>A/3326/2017 - 24/39 -</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w:t>
      </w:r>
    </w:p>
    <w:p>
      <w:r>
        <w:t>A/3326/2017 - 25/39 -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A/3326/2017 - 26/39 -</w:t>
      </w:r>
    </w:p>
    <w:p>
      <w:r>
        <w:rPr>
          <w:b/>
        </w:rPr>
        <w:t>E. 12</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w:t>
      </w:r>
    </w:p>
    <w:p>
      <w:r>
        <w:rPr>
          <w:b/>
        </w:rPr>
        <w:t>E. 17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w:t>
      </w:r>
    </w:p>
    <w:p>
      <w:r>
        <w:t>A/3326/2017 - 29/39 -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19</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w:t>
      </w:r>
    </w:p>
    <w:p>
      <w:r>
        <w:t>A/3326/2017 - 30/39 -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w:t>
      </w:r>
    </w:p>
    <w:p>
      <w:r>
        <w:rPr>
          <w:b/>
        </w:rPr>
        <w:t>E. 24</w:t>
      </w:r>
    </w:p>
    <w:p>
      <w:r>
        <w:t>Si elle en reste pour l'essentiel à sa critique initiale, elle remet par la suite (mémoire du 18 juin 2018) en cause la valeur probante de l'expertise rhumatologique du Dr G______ du 15 février 2016. Il y a dès lors lieu d'examiner la valeur probante de cette expertise. Contrairement à ce que prétend la recourante, le Dr G______, spécialiste reconnu en rhumatologie, n'est pas un médecin interne à la Bâloise, mais un praticien indépendant; de surcroît, si l'initiative de lui confier un mandat d'expertise émanait de l'assurance perte de gain, l'intimé s'est toutefois joint à l'assureur perte de gain.</w:t>
      </w:r>
    </w:p>
    <w:p>
      <w:r>
        <w:t>A/3326/2017 - 34/39 - Conformément aux exigences de la jurisprudence rappelée précédemment, pour que l'on puisse reconnaître une pleine valeur probante au rapport d'expertise effectuée par un médecin indépendant de l'assureur qui l'a mandaté, le Dr G______ a dûment étayé son rapport, lequel a été établi en pleine connaissance de l’anamnèse et du dossier médical, au terme d’un examen clinique détaillé, et en considération des plaintes de la recourante. Ses conclusions sont claires et convaincantes, aucun élément du dossier tel qu'il se présentait au moment de l'expertise n'étant susceptible de mettre en doute la pertinence de l'évaluation de l'expert. D'ailleurs, sur le plan de la médecine interne et en particulier sur le plan rhumatologique, l'avis de l'expert coïncide avec l'avis des médecins traitants de la recourante, tant en ce qui concerne le diagnostic qu'en ce qui concerne les limitations fonctionnelles et la capacité de travail de 50 %, dès le 1er mars 2016, comme l'a confirmé la rhumatologue traitante, lors de son audition par la chambre de céans. Il convient également d'observer qu'au vu de ses constatations, et de ses diagnostics (lombosciatalgies droites sur une instabilité de L5 (listhésis de degré I sur une lyse isthmique bilatérale) et une discopathie L5-S1 sévère ; obésité), l'expert a formulé des propositions de mise en place d'une prise en charge en kinésithérapie (renforcement actif musculaire technique de gainage) et par une diététicienne (perte de poids nécessaire). Ces propositions sont cohérentes, l'expert émettant sur cette base le pronostic que, grâce aux effets conjugués de ces mesures thérapeutiques, dans un délai de quelques mois, l'expertisée pourrait recouvrer une pleine capacité de travail (100 %), soit de passer de 50 à 100 %. Toute autre est la question de savoir si l'évolution de la situation a confirmé ou non le pronostic de l'expert, et d'apprécier la manière dont le SMR – et à travers lui l'intimé – a interprété les projections de l'expert, comme on le verra plus loin. Les critiques formelles de la recourante ne permettent de mettre en doute ni l'objectivité et l'impartialité de l'expert, ni la pertinence de ses constatations médicales: la recourante voit dans certaines indications figurant dans l'expertise les signes d'une certaine légèreté dans l'établissement du rapport d'expert. Elle pointe à cet égard une erreur dans son année de naissance (1977 au lieu de 1966), au niveau du « concerne » dudit rapport. Cette erreur de plume n'a toutefois aucune incidence sur le fond de l'expertise, dès lors que dans le corps de celle-ci, l'expert a bien pris en compte l'âge effectif de l'expertisée. Le fait que l'expert ait mentionné, dans les renseignements anamnestiques familiaux que l'assurée fait partie d'une fratrie de trois frères et une sœur, et non l'inverse, n'a pas d'incidence non plus sur l'ensemble de l'expertise, et ne saurait être interprété dans le sens que le souhaiterait l'expertisée. Il n'y a pas lieu non plus de mettre en doute les constatations que l'expert, lorsque celui-ci indique que l'expertisée pouvait monter les escaliers sans effort, alors que lorsqu'elle a quitté le cabinet, l'expert lui avait appelé l'ascenseur. Le fait que l'expert, en prenant congé de l'assurée à la fin de son examen, l'ait invitée à prendre l'ascenseur, n'a rien d'insolite. Cela ne saurait être considéré comme un indice de ce que ses constatations au sujet de la capacité de l'intéressée</w:t>
      </w:r>
    </w:p>
    <w:p>
      <w:r>
        <w:t>A/3326/2017 - 35/39 - d'avoir pu sans autre monter les escaliers à pied ne serait pas conforme à la réalité. Il est en effet usuel, comme faisant partie des observations de l'expert quant au comportement spontané de l'assuré au moment où il se présente au cabinet, d'observer la manière dont ce dernier se déplace, que ce soit dans les escaliers ou encore lorsque l'expert va le chercher à la salle d'attente; il en va de même de l'observation de la manière dont il se déshabille ou se rhabille, par exemple. Dès lors, lorsqu'à la fin de l'examen, n'ayant plus besoin de vérifier davantage le comportement spontané de l'intéressé, il apparaît logique et relevant de la courtoisie que l'expert l'invite à prendre l'ascenseur pour repartir, sans qu'il ne faille y voir une relation avec la manière dont l'intéressé aurait monté les escaliers en arrivant à l'examen. La recourante fait grief à l'intimé, respectivement au SMR, de s'être borné à suivre aux conclusions de l'expert – fondées sur un unique entretien d'une heure. On rappellera à ce sujet qu'à teneur de la jurisprudence, ce n'est pas la durée de l'examen personnel de l'expert qui est important mais bien plutôt le contenu du rapport. En l'espèce rien ne permet de suspecter que l'expert ait bâclé son examen. On rappellera en effet que pour l'essentiel la Dresse I______ partage l'avis de l'expert. En retenant encore une CT de 50% dans une activité adaptée, l'expert ne s'est pas écarté de l'appréciation des médecins traitants (rhumatologue, généraliste et psychiatre); seule la question de la reprise à plein temps pour les raisons exposées précédemment allait au-delà des prévisions des médecins-traitants; mais, comme on le verra cela n'a en définitive pas d'incidence sur le résultat de la décision entreprise. Ainsi, au vu de ce qui précède, la chambre de céans estime que le rapport d'expertise rhumatologique du Dr G______ doit se voir reconnaître une pleine valeur probante.</w:t>
      </w:r>
    </w:p>
    <w:p>
      <w:r>
        <w:rPr>
          <w:b/>
        </w:rPr>
        <w:t>E. 25</w:t>
      </w:r>
    </w:p>
    <w:p>
      <w:r>
        <w:t>La recourante fait grief à l'intimé, respectivement au SMR de s'être borné à suivre aux conclusions de l'expert sans tenir compte de l'avis des médecins traitants et notamment de la rhumatologue traitante: par exemple, dans son avis du 14 septembre 2016, commentant le rapport de la rhumatologue traitante du 12 août 2016, le SMR retenait que cette dernière n'observait pas d'aggravation depuis l'expertise, mais décrivait une amélioration. Or, la recourante relève qu'il est expliqué dans ce rapport que depuis que la recourante est en arrêt de travail, les douleurs sont plus supportables, ce qui ne signifie pas que son état de santé se soit amélioré: si elle reprenait une activité physique, il se péjorerait et les douleurs deviendraient parfaitement insupportables. Il est vrai à cet égard que le SMR est sans doute allé vite en besogne en considérant sans aucune réserve que dès le 1er juillet 2016 la recourante aurait retrouvé une pleine capacité de travail (100 %), ceci sur la base du pronostic formé à l'époque par l'expert. Or, force est de constater que la récupération de la pleine capacité de travail dans une activité adaptée présupposait que les mesures thérapeutiques préconisées par l'expert soient effectivement mises en place, et dans l'affirmative,</w:t>
      </w:r>
    </w:p>
    <w:p>
      <w:r>
        <w:t>A/3326/2017 - 36/39 - aient donné les résultats escomptés. Or, la décision entreprise ayant été rendue le 9 juin, respectivement le 12 juillet 2017, (soit seize mois après que l'expert a énoncé ce pronostic), le SMR et l'intimé se devaient alors d'actualiser la situation en interrogeant les médecins-traitants sur l'évolution de la CT de la recourante après introduction des mesures préconisées par l'expert. Le SMR s'est en outre fondé sur une expression qui pouvait certes prêter à confusion: la rhumatologue traitant, dans son rapport du 12 août 2016, avait indiqué que, selon elle la CT dans une activité adaptée était "d'au moins 50%"; en déduire, comme l'a fait le SMR, que la CT était pleine et entière, procédait d'une interprétation insoutenable. La Dresse I______ a, en procédure de recours confirmé que son propos avait mal été interprété (attestation médicale du 6 octobre 2017). Mais elle a confirmé lors de son audition par la chambre de céans que pour elle la CT de la recourante dans une activité adaptée aux limitations fonctionnelles avait toujours été de 50% depuis qu'elle la suivait (avril 2016), et que c'était toujours le cas. La recourante reproche encore au SMR de s'être prononcé sans jamais l'avoir examinée personnellement. Ce grief n'est pas fondé. Selon la jurisprudence rappelée précédemment les rapports du SMR ont pour fonction d'opérer la synthèse des renseignements médicaux versés au dossier, de prendre position à leur sujet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ATF 142 V 58 consid. 5.1; arrêt du Tribunal fédéral 9C_542/2011 du 26 janvier 2012 consid. 4.1).</w:t>
      </w:r>
    </w:p>
    <w:p>
      <w:r>
        <w:rPr>
          <w:b/>
        </w:rPr>
        <w:t>E. 26</w:t>
      </w:r>
    </w:p>
    <w:p>
      <w:r>
        <w:t>La recourante critique encore les degrés d'invalidité retenus par l'intimé, et en particulier le taux retenu (3 %) pour ce qui est de ses tâches ménagères, le taux d'empêchement dans le cadre de la tenue de son ménage étant selon elle bien supérieur aux 8 % retenus, soit à tout le moins de 50 %. Selon elle les pondérations et le pourcentage relatif aux empêchements retenus dans le cadre de l'enquête économique du 4 octobre 2016 ne sont pas adéquats ni conformes à la réalité. Il convient ainsi de déterminer si l'enquête économique sur le ménage à laquelle l'intimé a fait procéder le 3 octobre 2016 peut se voir reconnaître une pleine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w:t>
      </w:r>
    </w:p>
    <w:p>
      <w:r>
        <w:t>A/3326/2017 - 37/39 -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En l'espèce le rapport d'enquête ménagère remplit toutes les conditions posées par la jurisprudence pour se voir reconnaître une pleine valeur probante. La recourante se contente de contester les chiffres retenus pour en proposer d'autres, sans justifier son point de vue par des éléments objectifs susceptibles de jeter le moindre doute quant à la pertinence des constatations faites par la personne qualifiée qu'est l'auteur de ce rapport.</w:t>
      </w:r>
    </w:p>
    <w:p>
      <w:r>
        <w:rPr>
          <w:b/>
        </w:rPr>
        <w:t>E. 27</w:t>
      </w:r>
    </w:p>
    <w:p>
      <w:r>
        <w:t>La recourante fait encore grief à l'intimé, par rapport à la détermination du degré d'invalidité, de n'avoir procédé à une réduction supplémentaire sur le salaire statistique que de 10% au lieu du maximum de 25 %: selon elle ce maximum se justifierait car seule une activité légère et spécifique conviendrait en raison des limitations fonctionnelles, de son âge (52 ans), de l'absence de toute formation professionnelle, et du fait qu'elle ne soit arrivée en Suisse qu'il y a six ans, et ne parle pas bien le français. A juste titre la recourante ne critique pas en soi la méthode utilisée par l'intimé pour procéder à la comparaison des revenus avec et sans invalidité, notamment en ayant recours aux salaires statistiques de l'ESS pour le salaire avec invalidité. Elle ne critique que le taux de réduction appliqué par l'intimé au salaire statistique déterminé: elle estime insuffisante la réduction admise par l'intimé de 10 %, considérant qu'il eût été justifié de retenir la réduction maximum de 25 %. Au vu de la jurisprudence citée précédemment, la recourante ne saurait être suivie.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 que celle que l'autorité, dans le cas concret, a adoptée dans le cadre de son pouvoir d'appréciation et en respectant les principes généraux du droit -,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Ainsi, la chambre de céans considère que la réduction appliquée par l'intimé n'est pas critiquable, et tient compte de l'ensemble des caractéristiques personnelles de la recourante, et s'inscrit dans les limites du pouvoir d'appréciation de l'administration.</w:t>
      </w:r>
    </w:p>
    <w:p>
      <w:r>
        <w:t>A/3326/2017 - 38/39 -</w:t>
      </w:r>
    </w:p>
    <w:p>
      <w:r>
        <w:rPr>
          <w:b/>
        </w:rPr>
        <w:t>E. 28</w:t>
      </w:r>
    </w:p>
    <w:p>
      <w:r>
        <w:t>Ceci dit, la question d'une éventuelle aggravation de l'état de santé de la recourante tel qu'il semble ressortir des documents produits en procédure de recours, tous postérieurs à la décision entreprise, comme le SMR semble l'admettre sur le principe, n'a pas à être examiné par la chambre de céans, qui ne peut se prononcer, dans la règle, qu'en fonction de l'état du dossier tel qu'ils se présentait au moment de la décision entreprise. Cette question devra dès lors faire l'objet d'une nouvelle demande auprès de l'OAI. Ainsi n'y a-t-il pas lieu d'ordonner une (nouvelle) expertise, comme le souhaiterait la recourante qui considère que si un tel examen était ordonné actuellement, il ne manquerait pas de mettre en évidence une aggravation de son état de santé.</w:t>
      </w:r>
    </w:p>
    <w:p>
      <w:r>
        <w:rPr>
          <w:b/>
        </w:rPr>
        <w:t>E. 29</w:t>
      </w:r>
    </w:p>
    <w:p>
      <w:r>
        <w:t>Au vu de ce qui précède, même en admettant que, contrairement au pronostic que l'expert avait formulé quant au recouvrement d'une pleine capacité de travail (100 %) depuis le 1er juillet 2016, celui-ci ne s'est pas réalisé à cette date, il n'en demeure pas moins - ce que la recourante ne conteste pas - que sa CT dans une activité adaptée serait restée à 50 %, de sorte que, le degré d'invalidité fondé sur les calculs de la décision entreprise pour la période commençant le 1er mars 2016 resteraient valable dès le 1er juillet 2016, déterminant ainsi un degré d'invalidité de 10 %, ne donnant pas droit à une rente d'invalidité. On rappellera en effet, à l'intention de la recourante, que contrairement à ce qu'elle semble soutenir,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30</w:t>
      </w:r>
    </w:p>
    <w:p>
      <w:r>
        <w:t>Au vu de ce qui précède, le recours sera rejeté, dans la mesure de sa recevabilité.</w:t>
      </w:r>
    </w:p>
    <w:p>
      <w:r>
        <w:rPr>
          <w:b/>
        </w:rPr>
        <w:t>E. 31</w:t>
      </w:r>
    </w:p>
    <w:p>
      <w:r>
        <w:t>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w:t>
      </w:r>
    </w:p>
    <w:p>
      <w:r>
        <w:t>A/3326/2017 - 39/39 -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