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ATAS/1151/2011 vom 29. November 2011</w:t>
      </w:r>
    </w:p>
    <w:p>
      <w:r>
        <w:t>GE Cour de justice, 2011-11-29, FR</w:t>
      </w:r>
    </w:p>
    <w:p>
      <w:r>
        <w:rPr>
          <w:b/>
        </w:rPr>
        <w:t xml:space="preserve">Quelle: </w:t>
      </w:r>
      <w:r>
        <w:t>https://mcp.opencaselaw.ch/entscheid/ge_gerichte_ATAS_1151_2011</w:t>
      </w:r>
    </w:p>
    <w:p>
      <w:r>
        <w:t>FR: GE_GERICHTE ATAS/1151/2011 du 29 novembre 2011</w:t>
      </w:r>
    </w:p>
    <w:p>
      <w:r>
        <w:t>IT: GE_GERICHTE ATAS/1151/2011 del 29 novembre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prévus par la loi (art. 56 ss LPGA), le recours est recevable.</w:t>
      </w:r>
    </w:p>
    <w:p>
      <w:r>
        <w:rPr>
          <w:b/>
        </w:rPr>
        <w:t>E. 3</w:t>
      </w:r>
    </w:p>
    <w:p>
      <w:r>
        <w:t>L'objet du litige porte sur le droit du recourant à une rente d'invalidité dès le 1er novembre 2009, en raison de l'agression à l'arme blanche dont il a été victime le 5 octobre 2007.</w:t>
      </w:r>
    </w:p>
    <w:p>
      <w:r>
        <w:rPr>
          <w:b/>
        </w:rPr>
        <w:t>E. 4</w:t>
      </w:r>
    </w:p>
    <w:p>
      <w:r>
        <w:t>Aux termes de l'art. 6 al. 1 LAA, si la loi n'en dispose pas autrement, les prestations d'assurance sont allouées en cas d'accident professionnel, d'accident non professionnel et de maladie professionnelle.</w:t>
      </w:r>
    </w:p>
    <w:p>
      <w:r>
        <w:rPr>
          <w:b/>
        </w:rPr>
        <w:t>E. 5</w:t>
      </w:r>
    </w:p>
    <w:p>
      <w:r>
        <w:t>a) Le droit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w:t>
      </w:r>
    </w:p>
    <w:p>
      <w:r>
        <w:t>A/918/2010 - 13/20 -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1195 337 consid. 1, 1185 289 consid. 1b et les références). On rappellera que lorsqu'un état maladif préexistant est aggravé ou, de manière générale, apparaît consécutivement à l'accident,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U142 p. 75 consid. 4b ; MAURER, Schweizerisches Unfallversicherungsrecht, p. 469 nos 3 et 4, DE BRUNNER/RAMSEIER, Die Begutachtung von Rûckenschäden, Berne, 1990, p. 52 ; Meier-Blaser, Die Zusammenarbeit von Richter und Arzt in der Sozialversicherung, Bulletin des médecins suisses 71/1990, p. 1093). A contrario, aussi longtemps que le statu quo sine vel ante n'est pas rétabli, l'assureur accidents doit prendre à sa charge le traitement de l'état maladif préexistant, dans la mesure où il a été causé ou aggravé par l'accident.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8C_463/2009 du 23 novembre 2009, consid. 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w:t>
      </w:r>
    </w:p>
    <w:p>
      <w:r>
        <w:rPr>
          <w:b/>
        </w:rPr>
        <w:t>E. 6</w:t>
      </w:r>
    </w:p>
    <w:p>
      <w:r>
        <w:t>a) Dans le domaine des assurances sociales, le juge fonde sa décision, sauf dispositions contraires de la loi, sur les faits qui, faute d'être établis de manière irréfutable, apparaissent comme les plus vraisemblables, c'est à-dire qui présentent</w:t>
      </w:r>
    </w:p>
    <w:p>
      <w:r>
        <w:t>A/918/2010 - 14/20 -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apprécient librement les preuves, sans être liés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l'origine, ni la désignation du moyen de preuve comme rapport aux expertises,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 et qu'aucun indice concret ne permette de mettre en cause leur bien-fondé (ATF 125 V 353 ss consid. 3b/ee ; ATFA non publié du 13 mars 2000, I 592/99, consid. b/ee). La Cour européenne des droits de l'homme a estimé que ce principe n'était pas contraire à l'art. 6 § 1 CEDH garantissant le droit à un procès équitable (JAAC 199895 917). Cette situation peut cependant faire naître des soupçons de prévention qui, pour être retenus, doivent reposer sur éléments objectifs et pas uniquement sur les impressions de l'assuré (ATFA non publié du 17 février 2006, U234/05, consid. 2.1).</w:t>
      </w:r>
    </w:p>
    <w:p>
      <w:r>
        <w:t>A/918/2010 - 15/20 - S'agissant enfin de la valeur probante des rapports établis par les médecins-traitant, le juge peut et doit tenir compte du fait que, selon l'expérience, le médecin-traitant est généralement enclin, en cas de doute, à prendre partie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 RJJ 1995, p. 44 ; RCC 1988 p. 504 consid. 2). Enfin, le Tribunal fédéral a récemment jugé qu'il n'existe pas, dans la procédure d'octroi ou de refus de prestations d'assurances sociales, de droit formel à une expertise menée par un médecin externe à l'assurance. Il convient toutefois d'ordonner une telle expertise si des doutes, mêmes faibles, subsistent quant à la fiabilité et à la pertinence des constatations médicales effectuées à l'interne (ATF 135 V 465, consid. 4). c) 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T.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7</w:t>
      </w:r>
    </w:p>
    <w:p>
      <w:r>
        <w:t>En l'espèce, la SUVA s'est fondée sur le rapport du Dr H__________ du 4 mars 2009 et ceux du Dr I_________ des 5 juin 2009 et 23 octobre 2009 pour motiver la décision querellée. Dans son rapport du 4 mars 2009, après avoir procédé à des examens complets, le Dr H__________, neurologue, a retenu qu'il était difficile d'expliquer complètement les plaintes formulées par le recourant ainsi que l'incapacité de travail qui paraissait en découler, que compte tenu des éléments à sa disposition, il existait très certainement une lésion nerveuse au niveau paravertébral lombaire haut, que cette atteinte pouvait expliquer en partie la symptomatologie douloureuse mais ne rendait absolument pas compte des troubles sensitivo-moteurs et algiques décrits par l'assuré au niveau fessier et du membre inférieur gauches, lesquels étaient apparemment subjectifs sur la base de son bilan. Il a conclu que s'il admettait l'existence de troubles potentiellement algigènes au niveau paravertébral, il ne trouvait pas d'explication claire à l'importance des troubles, à leur extension au</w:t>
      </w:r>
    </w:p>
    <w:p>
      <w:r>
        <w:t>A/918/2010 - 16/20 - niveau du membre inférieur gauche et leur répercussion sur la capacité de travail. A ce dernier égard, il y a lieu de relever que le recourant avait tenu des propos contraires à la réalité, puisqu'il avait déclaré au médecin précité qu'il ne travaillait qu'à 50%, alors qu'en réalité, il travaillait à plein temps au moins depuis le mois de janvier 2008. Cela étant, la Chambre de céans constate que le rapport du Dr H__________ se fonde sur l'étude du dossier médical de l'assuré et sur un examen clinique complet. Les conclusions sont claires et convaincantes, de sorte qu'il convient de leur reconnaître pleine valeur probante. Elles sont corroborées par les conclusions du Dr I_________, neurologue et psychiatre. Dans le premier rapport d'appréciation neurologique du Département de Médecine de Assurances de la SUVA à Lucerne du 5 juin 2009, le Dr I_________ a également relevé qu'il existait un grand décalage entre une blessure de la musculature relativement localisée (avec indication d'une lésion du fascia) et une possible lésion de certains nerfs innervant la région paravertébrale lombaire gauche d'une part et d'autre part un syndrome douloureux croissant depuis le début de l'année 2008 avec extension de douleurs subjectives dans la région de la fesse gauche et dans l'ensemble du membre inférieur. Il a même fait état d'«anomalies, plutôt sans rapport avec l'accident, visibles sur les IRM lombaires». Dans son second rapport du 23 octobre 2009, le Dr I_________ a indiqué que des contradictions marquées apparaissaient entre le type et l'importance des lésions objectivables – et leurs conséquences – d'une part et l'intensité et la localisation des troubles dont l'assuré faisait état d'autre part, et que le lien de causalité entre le syndrome douloureux neuropathique présenté par l'assuré avec sa blessure d'octobre 2007 n'était que possible. Il a encore ajouté que le comportement du recourant – ayant consisté à ne pas avoir pris les médicaments prescrits habituellement en cas de douleurs neuropathiques à des doses suffisamment élevées, à ne pas avoir fait usage des diverses options thérapeutiques qui lui étaient offertes, à n'avoir suivi aucune séance de physiothérapie durant l'été 2009 et à ne prendre qu'un médicament antirhumatismal, de surcroît de manière irrégulière – permettait de considérer qu'il ne souffrait pas vraisemblablement de douleurs à caractère avant tout neuropathique, qu'il ne souffrait pas de troubles véritablement importants et qu'il souffrait plutôt de troubles de nature rhumatismale ayant le caractère d'une maladie, d'autant que d'un point de vue neurologique, aucune lésion notable et/ou durable de structures des systèmes nerveux central ou périphérique consécutives à l'événement d'octobre 2007 n'avait pu être mise en évidence. Il en a conclu qu'aucune limitation importante de l'aptitude au travail de l'assuré dans son métier habituel (gestion de la clientèle ou lors des activités de chantier) ne se justifiait par des suites d'ordre structurel ou organique de l'événement d'octobre 2007 et que la limitation de son rendement à 50% pour des travaux de chantier allégués par l'assuré ne se justifiait pas par des lésions organiques de nature neurologique associées aux suites de l'événement d'octobre 2007. Il a estimé que l'assuré était tenu de contribuer à la diminution des suites d'accident et à la conservation de sa capacité de travail, de sorte qu'il était exigible de sa part qu'il exerce des activités</w:t>
      </w:r>
    </w:p>
    <w:p>
      <w:r>
        <w:t>A/918/2010 - 17/20 - physiques de pénibilité moyenne, voire des travaux lourds tout en faisant preuve d'un effort de volonté pour surmonter ses troubles subjectifs. Le seul avis divergent est celui du médecin traitant du recourant, le Dr A__________, qui n'emporte pas la convocation de la Chambre de céans. En effet, il appert que, dans ses rapports, le médecin précité s'est limité à reproduire les déclarations de son patient au sujet de sa capacité à exercer son activité professionnelle et qu'il ne s'est exprimé qu'à une reprise sur le lien de causalité, soit lors de son audition par la Chambre de céans. A cette occasion, il s'est limité à estimer qu'en l'absence d'antécédents, l'état de santé actuel de l'assuré était exclusivement dû à l'accident subi en octobre 2007. Dans la mesure où cet avis ne repose pas sur une analyse aussi complète que celle des Dr H__________ et I_________, la Chambre de céans attribuera forces probantes aux conclusions de ces derniers. Ainsi, la Chambre de céans considère que la problématique algique alléguée par l'assuré n'est pas ou plus en relation de causalité naturelle avec l'agression dont il a été victime le 5 octobre 2007 et ne saurait en conséquence ouvrir un droit à une rente d'invalidité de l'assurance-accidents.</w:t>
      </w:r>
    </w:p>
    <w:p>
      <w:r>
        <w:rPr>
          <w:b/>
        </w:rPr>
        <w:t>E. 8</w:t>
      </w:r>
    </w:p>
    <w:p>
      <w:r>
        <w:t>Même si le lien de causalité naturelle devait être admis, ce qui n'est pas le cas en l'occurrence, le taux d'invalidité du recourant serait inférieur aux taux de 10% ouvrant le droit à des prestations de l'assurance-accidents (ch. 7 ci-dessous). a) Selon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A/918/2010 - 18/20 -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du 19 mars 2009, cause 9C_437/2008 consid. 4.2, in SVR 2009 IV no 35 p. 97; ATFA non publiés du 30 avril 1991, I 350/89, consid. 3b in RCC 1991 p. 332, et I 329/88 du 25 janvier 1989, consid. 4a in RCC 1989 p. 331). c) En l'occurrence, le recourant estime en substance que sa capacité de travail n'est que de 50%, en comparant son salaire auprès de X__________ Sàrl avant et après l'accident. Il y a lieu de relever préalablement que les déclarations et fiches de salaire émanant de X__________ Sàrl ou de la fiduciaire Y_________ SA doivent être prises en compte avec circonspection. En effet, il s'avère qu'en réalité, c'est le recourant qui, en sa qualité de gérant associé de X__________ Sàrl a pris les décisions utiles, lesquelles pouvaient être complaisantes à son égard. La lettre à l'entête de la société précitée adressée à Me PALLY le 5 mars 2010 – et produite par le recourant – en est une illustration, puisqu'il y est mentionné qu'à cette date, ce dernier travaillerait tout au plus quatre heures par jour à la demande de son médecin, alors que le recourant lui-même avait reconnu en juin 2008 qu'il travaillait à plein temps (et non à mi-temps) mais avec un rendement réduit selon lui de 50% et qu'il ressort de ses fiches de salaire qu'en février 2008 déjà, il travaillait à plein temps. Pareillement, l'exactitude des faits consignés dans les documents établis par X__________ Sàrl peut être sujette à caution, sachant que, selon le Ministère public, il y avait eu des malversations comptables au sein de cette société, avec la participation de la fiduciaire Y_________ SA, notamment par l'établissement de fausses factures pour alourdir les charges de X__________ Sàrl ou par la dissimulation de revenus que cette société faisait encaisser fictivement par des tiers. Ces considérations valent également à l'égard de la fiduciaire Y_________ SA, d'autant que, par courrier à la SUVA du 17 juin 2009, elle a indiqué que le recourant continuait de ne déployer</w:t>
      </w:r>
    </w:p>
    <w:p>
      <w:r>
        <w:t>A/918/2010 - 19/20 - une activité professionnelle qu'à 50%, alors qu'en réalité, il avait repris le travail à plein temps au plus tard depuis le mois de janvier 2008. Enfin, il est à relever que le recourant lui-même a tenu des propos contraires à la réalité en fonction de ses intérêts; en particulier, il a déclaré à l'Office AI en mai 2008 et au Dr H__________ en mars 2009 qu'il ne travaillait qu'à 50% alors que, comme déjà dit, il avait repris le travail à plein temps au plus tard depuis le mois de janvier 2008. Il a également déclaré à la Chambre de céans lors de son audition qu'il n'avait recommencé à plein temps qu'en juin 2008. Dans ces conditions, la comparaison du salaire perçu avant et après le sinistre du 5 octobre 2007 ne saurait revêtir une quelconque valeur. Cela étant, suite à une analyse complète du dossier du recourant, le Dr I_________ a estimé que ce dernier était tenu de contribuer à la diminution des suites d'accident et à la conservation de sa capacité de travail, de sorte qu'il était exigible de sa part qu'il exerce des activités physiques de pénibilité moyenne, voire des travaux lourds tout en faisant preuve d'un effort de volonté pour surmonter ses troubles subjectifs. Cela est d'autant plus exigible du recourant qu'il est le directeur et seul gérant de la société qui l'emploie, si bien que, comme l'a relevé l'Office AI, il a pu adapter son poste de travail en se consacrant désormais à certaines livraisons et à la gestion de la clientèle, à l'exclusion du travail lourd physiquement. C'est ainsi que, dans un rapport du Service Médical Régional AI (SMR) Suisse romande du 29 septembre 2008, le Dr L_________, médecin-conseil SMR, a estimé que la capacité de travail du recourant était totale tant dans son activité habituelle que dans une activité adaptée et qu'une décision de refus de prestations AI a été rendue, laquelle n'a au demeurant pas été contestée par le recourant. Dans ces conditions, la Chambre de céans considère qu'indépendamment de la question du lien de causalité, les troubles allégués par le recourant n'entraîne aucune invalidité.</w:t>
      </w:r>
    </w:p>
    <w:p>
      <w:r>
        <w:rPr>
          <w:b/>
        </w:rPr>
        <w:t>E. 9</w:t>
      </w:r>
    </w:p>
    <w:p>
      <w:r>
        <w:t>Il résulte de ce qui précède que le recours sera rejeté et la décision attaquée confirmée.</w:t>
      </w:r>
    </w:p>
    <w:p>
      <w:r>
        <w:rPr>
          <w:b/>
        </w:rPr>
        <w:t>E. 10</w:t>
      </w:r>
    </w:p>
    <w:p>
      <w:r>
        <w:t>Pour le surplus, la procédure est gratuite (art. 61 let. a LPGA).</w:t>
      </w:r>
    </w:p>
    <w:p>
      <w:r>
        <w:t>A/918/2010 - 20/20 -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