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ATAS/1150/2012 vom 24. September 2012</w:t>
      </w:r>
    </w:p>
    <w:p>
      <w:r>
        <w:t>GE Cour de justice, 2012-09-24, FR</w:t>
      </w:r>
    </w:p>
    <w:p>
      <w:r>
        <w:rPr>
          <w:b/>
        </w:rPr>
        <w:t xml:space="preserve">Quelle: </w:t>
      </w:r>
      <w:r>
        <w:t>https://mcp.opencaselaw.ch/entscheid/ge_gerichte_ATAS_1150_2012</w:t>
      </w:r>
    </w:p>
    <w:p>
      <w:r>
        <w:t>FR: GE_GERICHTE ATAS/1150/2012 du 24 septembre 2012</w:t>
      </w:r>
    </w:p>
    <w:p>
      <w:r>
        <w:t>IT: GE_GERICHTE ATAS/1150/2012 del 24 settembre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Selon les documents produits, la prestation acquise pendant le mariage par le demandeur est de 264’701 fr. 55 tandis que celle acquise par la demanderesse est de 5'538 fr. 80, les intérêts ayant déjà été calculés par les institutions de prévoyance défenderesses. Ainsi le demandeur doit à son ex-épouse le montant de 132’350 fr. 77 (264’701 fr. 55 : 2) et celle-ci doit à celui-là le montant de 2’769 fr. 40 (5’538 fr. 80 : 2), de sorte que c’est le demandeur qui doit à la demanderesse le montant de 129'581 fr. 37. Le jugement de divorce spécifie que le versement de la prestation de la demanderesse résultant du partage des avoirs de prévoyance doit s’opérer en</w:t>
      </w:r>
    </w:p>
    <w:p>
      <w:r>
        <w:t>A/1690/2012 5/6 premier lieu par la reprise par PAT-BVG de la créance que la CAP détient à l’encontre de son assuré. La reprise de créance entre assurances n’influe pas sur le droit de la demanderesse à obtenir le transfert sur son compte de prévoyance des prétentions résultant du partage. Pourtant, celle-ci dispose d’une créance de prévoyance à hauteur de 129'581 fr. 37 que la CAP sera invitée à verser sur son compte auprès de la PAT-BVG.</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A/1690/2012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