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ATAS/114/2026 vom 11. Februar 2026</w:t>
      </w:r>
    </w:p>
    <w:p>
      <w:r>
        <w:t>GE Cour de justice, 2026-02-11, FR</w:t>
      </w:r>
    </w:p>
    <w:p>
      <w:r>
        <w:rPr>
          <w:b/>
        </w:rPr>
        <w:t xml:space="preserve">Quelle: </w:t>
      </w:r>
      <w:r>
        <w:t>https://mcp.opencaselaw.ch/entscheid/ge_gerichte_ATAS_114_2026</w:t>
      </w:r>
    </w:p>
    <w:p>
      <w:r>
        <w:t>FR: GE_GERICHTE ATAS/114/2026 du 11 février 2026</w:t>
      </w:r>
    </w:p>
    <w:p>
      <w:r>
        <w:t>IT: GE_GERICHTE ATAS/114/2026 del 11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à la rente de l’assurée dès le 1er juin 2022.</w:t>
      </w:r>
    </w:p>
    <w:p>
      <w:r>
        <w:rPr>
          <w:b/>
        </w:rPr>
        <w:t>E. 3</w:t>
      </w:r>
    </w:p>
    <w:p>
      <w:r>
        <w:t>Le 1er janvier 2022, les modifications de la LAI du 19 juin 2020 (développement continu de l’AI ; RO 2021 705) ainsi que celles du 3 novembre 2021 du règlement sur l’assurance-invalidité du 17 janvier 1961 (RAI - RS 831.201) sont entrées en vigueur. Conformément aux principes de droit intertemporel, la législation applicable en cas de changement de règles de droit est en principe celle en vigueur au moment où les faits juridiquement déterminants se sont produits (ATF 144 V 210 consid. 4.3.1).</w:t>
      </w:r>
    </w:p>
    <w:p>
      <w:r>
        <w:rPr>
          <w:b/>
        </w:rPr>
        <w:t>E. 3.1</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w:t>
      </w:r>
    </w:p>
    <w:p>
      <w:r>
        <w:rPr>
          <w:b/>
        </w:rPr>
        <w:t>E. 3.2</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Cette disposition consacre le principe selon lequel le droit à la rente ne peut en principe naître que lorsque toutes les possibilités de réadaptation, dont les mesures de réinsertion, ont été épuisées. Le fait que les mesures de réadaptation n’aient été que partiellement couronnées de succès, voire aient échoué, est sans incidence sur cet état de fait. Néanmoins, avant ce moment, un droit (temporaire) à la rente peut exceptionnellement naître si l’assuré n’était pas ou pas encore apte à la réadaptation (arrêt du Tribunal fédéral 9C_380/2021 du 31 janvier 2022 consid. 5.1). Ce n’est que lorsqu’aucune mesure de réadaptation n’entre en considération qu’un droit à la rente peut être examiné (arrêt du Tribunal fédéral 9C_108/2012 du 5 juin 2012 consid. 2.2.1).</w:t>
      </w:r>
    </w:p>
    <w:p>
      <w:r>
        <w:t>A/1738/2025 - 11/17 - Selon l’art. 29 al. 1 LAI, le droit à la rente naît au plus tôt six mois après la demande, déposée en l’espèce le 21 avril 2020.</w:t>
      </w:r>
    </w:p>
    <w:p>
      <w:r>
        <w:rPr>
          <w:b/>
        </w:rPr>
        <w:t>E. 3.3</w:t>
      </w:r>
    </w:p>
    <w:p>
      <w:r>
        <w:t>L’intimé a fixé le début du droit à la rente au 1er juin 2022, soit postérieurement à l’entrée en vigueur de la novelle de la LAI. On observe à ce sujet qu’il n’a pas exposé les éléments qui lui permettent de fixer la date de fin des mesures de réadaptation au 31 mai 2022. La recourante ne conteste toutefois pas la date de début du droit à la rente, et elle a bénéficié d'indemnités journalières versées par la SUVA et du salaire correspondant à la capacité de travail résiduelle médicalement attestée jusqu’à cette date, de sorte que la chambre de céans ne reviendra pas sur ce point. Partant, le nouveau droit est applicable.</w:t>
      </w:r>
    </w:p>
    <w:p>
      <w:r>
        <w:rPr>
          <w:b/>
        </w:rPr>
        <w:t>E. 4</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Il appartient en premier lieu au médecin d'évaluer l'état de santé et, si nécessaire, de décrire son évolution dans le temps, c'est-à-dire de procéder aux constatations objectives par un examen médical conforme aux règles de l’art, en tenant compte des plaintes, puis d’établir un diagnostic sur cette base. Il s’agit là de sa mission première, pour laquelle il est seul compétent, à l’exclusion de l’administration ou du juge. En revanche, s’agissant de définir les répercussions des atteintes à la santé sur la capacité de travail, le médecin n’est pas seul compétent. Il doit prendre position sur l’incapacité de travail et l’évaluer de manière aussi motivée que possible. Les indications du médecin sont des données importantes pour apprécier juridiquement quelles activités sont encore exigibles (ATF 140 V 193 consid. 3.2). Le médecin doit ainsi mentionner les activités qui ne peuvent plus être accomplies ou seulement de manière limitée, ainsi que celles que l’assuré pourrait continuer à effectuer moyennant des aménagements de la place de travail. En règle générale, le médecin procède une appréciation quantitative en comparant les possibilités fonctionnelles avant et après la survenance de l’atteinte à la santé et en indique le résultat sous la forme d’un pourcentage (Margit MOSER-SZELESS / Jenny CASTELLA, Commentaire romand LPGA, 2e éd. 2025, n° 24 ad art. 6 LPGA).</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t>A/1738/2025 - 12/17 -</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w:t>
      </w:r>
    </w:p>
    <w:p>
      <w:r>
        <w:rPr>
          <w:b/>
        </w:rPr>
        <w:t>E. 5.2</w:t>
      </w:r>
    </w:p>
    <w:p>
      <w:r>
        <w:t>Le revenu d'invalide doit être évalué avant tout en fonction de la situation professionnelle concrète de la personne assurée (arrêt du Tribunal fédéral 9C_44/2024 du 23 septembre 2024 consid. 5.2). Selon la jurisprudence rendue à teneur du droit en vigueur jusqu’au 31 décembre 2021, le revenu concrètement réalisé après l’atteinte pouvait uniquement être retenu à titre de revenu d’invalide lorsque l'activité exercée après la survenance de l'atteinte à la santé reposait sur des rapports de travail particulièrement stables, qu'elle mettait pleinement en valeur la capacité de travail résiduelle exigible et que le gain obtenu correspondait au travail effectivement fourni et ne contenait pas d'éléments de salaire social (ATF 148 V 175 consid. 6.2). Cette jurisprudence correspondait à l’art. 25 al. 1 let. b RAI dans sa teneur en vigueur jusqu’au 31 décembre 2021, lequel excluait du revenu d’invalide des éléments de salaire dont il était prouvé que l’assuré ne pouvait fournir la contrepartie, parce que sa capacité de travail limitée ne le lui permettait pas (arrêt du Tribunal fédéral 9C_382/2025 du 25 novembre 2025 consid. 3.1). Depuis le 1er janvier 2022, l’art. 25 RAI n’exclut plus les éléments de salaire social du revenu d’invalide. Le revenu effectivement réalisé est ainsi toujours considéré comme un revenu avec invalidité, à condition que la capacité fonctionnelle soit exploitée le mieux possible (rapport explicatif du 3 novembre 2021 de l’OFAS au sujet des dispositions d’exécution relatives à la modification de la loi fédérale sur l’assurance-invalidité, p. 45). Les autres conditions posées par la jurisprudence, soit l’absence de salaire social et les conditions de travail particulièrement stables, ne devraient plus s’appliquer (MOSER-SZELESS / CASTELLA, op. cit., n. 30b ad art. 16 LPGA).</w:t>
      </w:r>
    </w:p>
    <w:p>
      <w:r>
        <w:rPr>
          <w:b/>
        </w:rPr>
        <w:t>E. 5.3</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w:t>
      </w:r>
    </w:p>
    <w:p>
      <w:r>
        <w:t>A/1738/2025 - 13/17 -</w:t>
      </w:r>
    </w:p>
    <w:p>
      <w:r>
        <w:rPr>
          <w:b/>
        </w:rPr>
        <w:t>E. 6</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Cette dernière disposition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Ces données médicales permettent généralement une appréciation objective du cas (arrêt du Tribunal fédéral 8C_713/2019 du 12 août 2020 consid. 5.2).</w:t>
      </w:r>
    </w:p>
    <w:p>
      <w:r>
        <w:rPr>
          <w:b/>
        </w:rPr>
        <w:t>E. 8</w:t>
      </w:r>
    </w:p>
    <w:p>
      <w:r>
        <w:t>L’intimé a octroyé un quart de rente à la recourante dès le 1er juin 2022.</w:t>
      </w:r>
    </w:p>
    <w:p>
      <w:r>
        <w:rPr>
          <w:b/>
        </w:rPr>
        <w:t>E. 8.1</w:t>
      </w:r>
    </w:p>
    <w:p>
      <w:r>
        <w:t>La recourante reproche en premier lieu à l'intimé d'avoir statué sur son droit à la rente avant que son état ne soit stabilisé. Ce grief tombe cependant à faux, dès lors qu'en matière d’assurance-invalidité, le droit à la rente peut être ouvert avant la stabilisation de l’atteinte à la santé, contrairement à ce qui prévaut en matière d'assurance-accidents (cf. art. 19 al. 1 de la loi fédérale sur l’assurance-accidents [LAA – RS 832.20]) (ATF 127 V 294 consid. 4b/bb ; arrêt du Tribunal fédéral</w:t>
      </w:r>
    </w:p>
    <w:p>
      <w:r>
        <w:t>A/1738/2025 - 14/17 - I 1033/06 du 27 mars 2007 consid. 6.4). L'examen du droit à la rente porte sur la capacité de travail dans l'activité habituelle tant que l'état de santé de l’assuré n'est pas stabilisé, et sur la capacité de travail exigible dans une activité adaptée depuis sa stabilisation (arrêt du Tribunal fédéral 9C_881/2010 du 23 août 2011 consid. 3.2, cf. pour un exemple d’application arrêt du Tribunal fédéral 9C_472/2014 du 14 octobre 2014 consid. 3.3). Dans ces circonstances, il n’y a en particulier pas lieu d’attendre que la recourante ait terminé l’apprentissage de l’utilisation de sa nouvelle prothèse – étant au demeurant souligné d’une part que la durée de deux ans qu’elle articule à cette fin ne ressort d’aucun document médical, et d’autre part que l’argumentaire établi par son ergothérapeute indiquait que les gestes quotidiens seraient grandement facilités par l’acquisition de ce moyen auxiliaire, de sorte qu’il semblerait prima facie que les répercussions de l’amputation transhumérale devraient s’amenuiser plutôt que s’aggraver grâce à cet apprentissage.</w:t>
      </w:r>
    </w:p>
    <w:p>
      <w:r>
        <w:rPr>
          <w:b/>
        </w:rPr>
        <w:t>E. 8.2</w:t>
      </w:r>
    </w:p>
    <w:p>
      <w:r>
        <w:t>En ce qui concerne le degré d'invalidité de 40%, il est incontestable que les propres médecins traitants de la recourante concluaient à une capacité de travail de 60% depuis novembre 2021, et qu’ils n’ont pas fait état d’une diminution de rendement supplémentaire. Dès lors que l’intimé ne s’est pas écarté des conclusions du Dr I______ pour la période litigieuse, il n’avait aucun motif de procéder à des investigations autonomes. Il est vrai que la recourante a subi des troubles liés au déséquilibre causé par l'amputation et à la sursollicitation de son membre supérieur droit, et il n’est pas impossible que l’augmentation de la capacité de travail admise par la Dre C______ puis confirmée par le Dr I______ ait été dictée par sa volonté de conserver son emploi, eu égard à la pression qu’elle a ressentie de son employeur. Ces troubles n'ont cependant pas conduit le Dr I______ à revoir à la hausse l’incapacité de travail attestée, si bien que la chambre de céans ne saurait s’en écarter. De plus, aucun médecin n’a remis en cause cette capacité de travail durant la période courant du 1er juin 2022 et la décision du 1er avril 2025. Le Dr J______ a lui-même admis dans son rapport du 6 mai 2025 qu’une capacité de travail de 60% semblait a priori exigible dans l’activité sédentaire et intellectuelle exercée par la recourante, quand bien même il a émis certaines réserves en lien avec les troubles cervicaux. Le Dr K______ a quant à lui attesté une incapacité de travail totale. Cela étant, ces éléments sont postérieurs à la décision attaquée, de sorte que la chambre de céans ne saurait en tenir compte dans la présente procédure. En effet, le juge apprécie la légalité des décisions attaquées, en règle générale, d'après l'état de fait existant au moment où la décision administrative a été rendue (ATF 144 V 210 consid. 4.3.1, arrêt du Tribunal fédéral 9C_270/2024 du 28 octobre 2025 consid. 5.1). On doit également admettre que l'activité habituelle est adaptée aux limitations fonctionnelles retenues par le médecin du SMR, dont aucun élément médical ne permet de mettre en doute l’étendue et la pertinence, et que la recourante ne</w:t>
      </w:r>
    </w:p>
    <w:p>
      <w:r>
        <w:t>A/1738/2025 - 15/17 - conteste du reste pas non plus. En outre, il n’apparaît pas que la capacité de travail de 60% était incompatible avec les nombreuses thérapies nécessaires, puisque la recourante a été en mesure de les suivre dans le cadre de ce taux d’occupation. Contrairement à ce qu’elle soutient, le fait d'imposer un jour de travail dans les locaux de l'employeur n'est pas incompatible avec les limitations fonctionnelles, de sorte que le fait d'emprunter les transports publics paraît exigible. Par surabondance, la recourante disposait de deux logements, l'un plus grand sis à Berne où elle résidait durant la semaine, l'autre étant un studio à Genève où elle se rendait en fin de semaine selon les rapports de la SUVA du 23 janvier 2020 et de l'OAI du 17 juillet 2020, et elle ne soutient pas qu’elle aurait résilié son bail bernois en 2022. Les trajets de son adresse bernoise à son lieu de travail ne paraissent ainsi pas excessifs. On doit certes admettre qu’il ressort des différents entretiens avec le B______ que le taux de 60% ne correspondait pas au rendement réel de la recourante, ce que corrobore le courrier de cette autorité à l’intimé du 2 novembre 2023. Dans ces circonstances, on peut se demander si sa rémunération comprenait une part de salaire social. Toutefois, conformément à l’art. 25 RAI dans sa teneur depuis le 1er janvier 2022, un tel élément de salaire ne doit plus être exclu du revenu après invalidité. Par conséquent, le degré d'invalidité doit être déterminé en fonction du revenu après invalidité concrètement perçu, ce qui correspond dans le cas d’espèce à une perte de gain de 40% dès lors que la recourante ne conteste pas qu’elle perçoit 60% de son traitement antérieur au sinistre. Un tel degré d’invalidité donne droit à un quart de rente conformément à l’art. 28b al. 4 LAI. Compte tenu de ces éléments, la décision de l’intimé doit être confirmée en tant qu’elle reconnaît le droit à un quart de rente à la recourante dès le 1er juin 2022, correspondant au taux d’invalidité de 40% à cette date. Au vu des éléments au dossier révélant une incapacité de travail totale durable survenue après la décision querellée, il y a néanmoins lieu d’inviter l’intimé à procéder à une révision de la rente, étant rappelé qu’il y a motif de révision au sens de l’art. 17 LPGA lorsque les conséquences d’un état de santé, resté en soi le même, sur la capacité de gain se sont modifiées (ATF 141 V 9 consid. 2.3).</w:t>
      </w:r>
    </w:p>
    <w:p>
      <w:r>
        <w:rPr>
          <w:b/>
        </w:rPr>
        <w:t>E. 8.3</w:t>
      </w:r>
    </w:p>
    <w:p>
      <w:r>
        <w:t>Compte tenu de ce qui précède, la chambre de céans renoncera à l’audition de L______, par appréciation anticipée des preuves (ATF 142 III 360 consid. 4.1.1).</w:t>
      </w:r>
    </w:p>
    <w:p>
      <w:r>
        <w:rPr>
          <w:b/>
        </w:rPr>
        <w:t>E. 9</w:t>
      </w:r>
    </w:p>
    <w:p>
      <w:r>
        <w:t>Le recours est rejeté. La recourante, qui succombe, n’a pas droit à des dépens (art. 61 let. g LPGA a contrario). La procédure de recours en matière de contestations portant sur des prestations de l’assurance-invalidité devant le tribunal cantonal des assurances étant soumise à des frais judiciaires (art. 69 al. 1bis LAI), la recourante supporte l’émolument de procédure de CHF 200.-</w:t>
      </w:r>
    </w:p>
    <w:p>
      <w:r>
        <w:t>A/1738/2025 - 16/17 -</w:t>
      </w:r>
    </w:p>
    <w:p>
      <w:r>
        <w:t>A/1738/2025 - 17/17 -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