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ATAS/114/2024 vom 19. Februar 2024</w:t>
      </w:r>
    </w:p>
    <w:p>
      <w:r>
        <w:t>GE Cour de justice, 2024-02-19, FR</w:t>
      </w:r>
    </w:p>
    <w:p>
      <w:r>
        <w:rPr>
          <w:b/>
        </w:rPr>
        <w:t xml:space="preserve">Quelle: </w:t>
      </w:r>
      <w:r>
        <w:t>https://mcp.opencaselaw.ch/entscheid/ge_gerichte_ATAS_114_2024</w:t>
      </w:r>
    </w:p>
    <w:p>
      <w:r>
        <w:t>FR: GE_GERICHTE ATAS/114/2024 du 19 février 2024</w:t>
      </w:r>
    </w:p>
    <w:p>
      <w:r>
        <w:t>IT: GE_GERICHTE ATAS/114/2024 del 19 febbraio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À teneur de l’art. 1 al. 1 LAI, les dispositions de la LPGA s’appliquent à l’assurance-invalidité (ci-après : AI), à moins que la loi n’y déroge expressément.</w:t>
      </w:r>
    </w:p>
    <w:p>
      <w:r>
        <w:rPr>
          <w:b/>
        </w:rPr>
        <w:t>E. 1.3</w:t>
      </w:r>
    </w:p>
    <w:p>
      <w:r>
        <w:t>La procédure devant la chambre de céans est régie par les dispositions de la LPGA et de la loi sur la procédure administrative, du 12 septembre 1985 (LPA – E 5 10). Interjeté en temps utile (art. 60 LPGA), dans le respect des exigences de forme et de contenu prévues par la loi (art. 61 let. b LPGA ; art. 89B LPA), le recours est recevable.</w:t>
      </w:r>
    </w:p>
    <w:p>
      <w:r>
        <w:rPr>
          <w:b/>
        </w:rPr>
        <w:t>E. 2.1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A/688/2023 - 11/18 - elle est postérieure au 31 décembre 2021, le nouveau droit s’applique (cf. arrêt du Tribunal fédéral 9C_60/2023 du 20 juillet 2023 consid. 2.2 et les références).</w:t>
      </w:r>
    </w:p>
    <w:p>
      <w:r>
        <w:rPr>
          <w:b/>
        </w:rPr>
        <w:t>E. 2.2</w:t>
      </w:r>
    </w:p>
    <w:p>
      <w:r>
        <w:t>En l’occurrence, la décision querellée, datée du 26 janvier 2023, a certes été rendue postérieurement au 1er janvier 2022. Cependant, étant donné que la recourante a déposé sa demande de prestations en février 2022 en expliquant que sa démarche était motivée par une aggravation de son état de santé survenue en 2015, le délai d’attente d’une année est arrivé à échéance à une date qui est vraisemblablement antérieure au dépôt de la demande, de sorte qu’un éventuel droit à une rente d’invalidité naîtrait avant le 1er janvier 2022 (cf. art. 28 al. 1 let. b et 29 al. 1 LAI). Il s’ensuit que les dispositions applicables seront citées dans leur teneur en vigueur jusqu’au 31 décembre 2021.</w:t>
      </w:r>
    </w:p>
    <w:p>
      <w:r>
        <w:rPr>
          <w:b/>
        </w:rPr>
        <w:t>E. 3</w:t>
      </w:r>
    </w:p>
    <w:p>
      <w:r>
        <w:t>L’objet du litige porte sur le droit à une rente d’invalidité dans le cadre d’une nouvelle demande de prestations déposée le 22 février 2022. Il porte plus particulièrement sur le point de savoir si l’intimé était fondé à nier la survenance d’un nouveau cas d’assurance en relation avec l’aggravation de l’état de santé invoquée par la recourante.</w:t>
      </w:r>
    </w:p>
    <w:p>
      <w:r>
        <w:rPr>
          <w:b/>
        </w:rPr>
        <w:t>E. 4.1</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w:t>
      </w:r>
    </w:p>
    <w:p>
      <w:r>
        <w:rPr>
          <w:b/>
        </w:rPr>
        <w:t>E. 4.2</w:t>
      </w:r>
    </w:p>
    <w:p>
      <w:r>
        <w:t>L’art. 6 al. 2 LAI constitue une règle de droit interne qui s’applique sous réserve des dispositions de l’accord sur la libre circulation des personnes (ALCP) avec l’UE ; de la Convention AELE et des autres conventions internationales de sécurité sociale conclues par la Suisse. Demeure également réservé l’arrêté fédéral du 4 octobre 1962 concernant le statut des réfugiés et des apatrides dans l’assurance-vieillesse et survivants et dans l’assurance-invalidité (Aréf.). L’art. 6 al. 2 LAI vise donc les assurés qui ne tombent pas sous le coup de ces réglementations (Michel VALTERIO, Commentaire de la loi fédérale sur l’assurance-invalidité [LAI], 2018, n. 5 ad art. 6). À cet égard, il sied de préciser qu’il n’existe pas, en l’espèce, de règles spéciales qui seraient applicables en lieu et place de l’art. 6 al. 2 LAI, étant relevé en particulier qu’il n’existe pas de convention bilatérale de sécurité sociale entre la Suisse et la Côte d’Ivoire.</w:t>
      </w:r>
    </w:p>
    <w:p>
      <w:r>
        <w:rPr>
          <w:b/>
        </w:rPr>
        <w:t>E. 4.3</w:t>
      </w:r>
    </w:p>
    <w:p>
      <w:r>
        <w:t>Sur le plan matériel, sont en principe applicables les règles de droit en vigueur au moment où les faits juridiquement déterminants se sont produits (ATF 129 V 1 consid. 1 ; ATF 127 V 467 consid. 1 et les références ; concernant la procédure, à défaut de règles transitoires contraires, le nouveau droit s’applique sans réserve dès le jour de son entrée en vigueur [ATF 117 V 93 consid. 6b ; 112 V 360</w:t>
      </w:r>
    </w:p>
    <w:p>
      <w:r>
        <w:t>A/688/2023 - 12/18 - consid. 4a ; RAMA 1998 KV 37 p. 316 consid. 3b]). S’agissant de la durée minimale de cotisation lors de la survenance de l’invalidité, il y a lieu d’appliquer celle de trois ans pour toutes les nouvelles rentes d’invalidité pour lesquelles la survenance de l’invalidité est intervenue à compter du 1er janvier 2008, et celle d’un an pour les nouvelles rentes d’invalidité déduites d’une survenance d’invalidité antérieure à cette date-ci (ATAS/610/2021 du 15 juin 2021 consid. 5b et les références ; ch. 3003 de la Circulaire sur la procédure pour la fixation des prestations dans l’AVS/AI/PC [CIBIL]). La condition de la durée minimale de cotisation ouvrant doit à la rente doit être remplie au moment de la survenance de l’invalidité (ch. 3004 CIBIL). Les périodes accomplies après ce terme n’entrent pas en ligne de compte (RCC 1959, p. 449). Selon l’art. 4 al. 2 LAI, l’invalidité est réputée survenue dès qu’elle est, par sa nature et sa gravité, propre à ouvrir droit aux prestations entrant en considération. Ce moment doit être déterminé objectivement, d’après l’état de santé de l’intéressé ; il ne dépend en particulier ni de la date à laquelle une demande a été présentée, ni de celle à partir de laquelle une prestation a été requise, et il ne coïncide pas non plus nécessairement avec le moment où l’assuré apprend, pour la première fois, que l’atteinte à sa santé peut ouvrir droit à des prestations d’assurance ; des facteurs externes fortuits n’ont pas d’importance (ATF 126 V 157 consid. 3a ; ATF 118 V 79 consid. 3a et les références ; ATF 103 V 130 ; ATAS/212/2011 du 21 février 2011 consid. 6c ; ATAS/311/2013 du 26 mars 2013 consid. 9). La survenance de l’invalidité ou du cas d’assurance est ainsi réalisée au moment où une prestation de l’AI est indiquée objectivement pour la première fois (Circulaire sur l’invalidité et l’impotence dans l’assurance-invalidité [CIIAI], n. 1028).</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5.2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w:t>
      </w:r>
    </w:p>
    <w:p>
      <w:r>
        <w:t>A/688/2023 - 13/18 - aussi objectivement que possible (ATF 127 V 294 consid. 4c ; ATF 102 V 165 consid. 3.1 ; VSI 2001 p. 223 consid. 2b; arrêt du Tribunal fédéral des assurances I 786/04 du 19 janvier 2006 consid. 3.1).</w:t>
      </w:r>
    </w:p>
    <w:p>
      <w:r>
        <w:rPr>
          <w:b/>
        </w:rPr>
        <w:t>E. 6</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7.1</w:t>
      </w:r>
    </w:p>
    <w:p>
      <w:r>
        <w:t>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w:t>
      </w:r>
    </w:p>
    <w:p>
      <w:r>
        <w:rPr>
          <w:b/>
        </w:rPr>
        <w:t>E. 7.2</w:t>
      </w:r>
    </w:p>
    <w:p>
      <w:r>
        <w:t>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 huitième anniversaire de l’assuré (art. 29 al. 2 LAI ; ATF 126 V 59 consid. 2b et les références citées).</w:t>
      </w:r>
    </w:p>
    <w:p>
      <w:r>
        <w:rPr>
          <w:b/>
        </w:rPr>
        <w:t>E. 7.3</w:t>
      </w:r>
    </w:p>
    <w:p>
      <w:r>
        <w:t>Le principe de l’unicité de la survenance de l’invalidité n’est pas absolu ; si la personne assurée ne remplit pas à un moment donné les conditions du droit à une prestation, il n’en découle pas qu’elle se verra dans tous les cas et à tout jamais privée du bénéfice de toute prestation. En effet, il peut tout d’abord se produire</w:t>
      </w:r>
    </w:p>
    <w:p>
      <w:r>
        <w:t>A/688/2023 - 14/18 - une succession de causes d’invalidité différentes qui entraînent autant de survenances successives de l’invalidité. D’autre part, une seule et même cause d’invalidité peut entraîner au cours du temps plusieurs cas d’assurance. Ainsi, le principe de l’unicité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 du Tribunal fédéral 9C_36/2015 du 29 avril 2015 consid. 5.2 et les références ; cf. aussi arrêt du Tribunal fédéral 9C_697/2015 du 9 mai 2016 consid. 3.2 ; Michel VALTERIO, Commentaire de la loi fédérale sur l’assurance-invalidité (LAI), 2018, n. 37 ad art. 4). Dans un arrêt du 19 décembre 2018, le Tribunal fédéral a précisé qu’il n’y a pas d’interruption notable de l’invalidité justifiant un nouveau cas d’assurance lorsque la personne concernée présente une invalidité (partielle) qui, même si elle varie dans le temps, ne disparaît pas entièrement pendant une période donnée (arrêt du Tribunal fédéral 9C_692/2018 du 19 décembre 2018 consid. 4.2.3). Dans ce dernier arrêt, le Tribunal fédéral a confirmé, dans le cas qui lui était soumis, que la récupération d’une capacité totale de travail pendant une période de trois ans et dix mois après deux ans d’incapacité partielle due à des troubles psychiques entraînait une interruption notable de l’invalidité justifiant un nouveau cas d’assurance. En revanche, une aggravation de l’état de santé ne justifie pas en principe un nouveau cas d’assurance (arrêts du Tribunal fédéral 9C_592/2015 du 2 mai 2015 consid. 3.2 et 9C_692/2018 du 19 décembre 2018 consid. 4.2.2). Si les causes de l’invalidité sont matériellement différentes, un nouvel événement assuré survient (arrêts du Tribunal fédéral 8C_93/2017 du 30 mai 2017 consid. 4.2 et 9C_592/2015, déjà cité, consid 3.2). Cela est le cas lorsque l’atteinte à la santé ne se limite pas à celle qui existait au moment du refus de la première demande de prestations mais qu’une atteinte à la santé totalement différente, ayant conduit à une augmentation du degré d’invalidité, s’y est ajoutée (cf. ATF 136 V 369 consid. 3.1.1 in fine). Par « augmentation du degré d’invalidité », il faut comprendre toute augmentation justifiant le passage à un échelon de rente supérieur (cf. arrêt du Tribunal fédéral des assurances I 76/05 du 30 mai 2006 consid. 2, auquel l’ATF 136 V 369 précité renvoie).</w:t>
      </w:r>
    </w:p>
    <w:p>
      <w:r>
        <w:rPr>
          <w:b/>
        </w:rPr>
        <w:t>E. 7.4</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 130 V 343 consid. 3.5.2 ; 130 V 71 consid. 3.2 ; arrêt du Tribunal fédéral 9C_899/2015 du 4 mars 2016 consid. 4.1). L’art. 17 al. 1 LPGA dispose que si le taux d’invalidité du bénéficiaire de la rente subit une modification notable, la rente est, d’office ou sur demande, révisée pour l’avenir, à savoir augmentée ou réduite en conséquence, ou encore supprimée.</w:t>
      </w:r>
    </w:p>
    <w:p>
      <w:r>
        <w:t>A/688/2023 - 15/18 - 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ATF 128 V 39). Ces principes, qui valent également dans le cadre d’une procédure de révision au sens de l’art. 17 LPGA ou d’une nouvelle demande, ne font toutefois pas obstacle à la prise en compte d’un nouveau cas d’assurance, puisque celui-ci est dépourvu de connexité matérielle avec la situation de fait prévalant au moment du refus de la première demande de prestations (arrêt du Tribunal fédéral 9C_36/2015 du 29 avril 2015 consid. 5.1 et les références ; cf. aussi ci-dessus : consid. 7.3). En cas de révision au sens de l’art. 17 LPGA,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130 V 343 consid. 3.5.2).</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w:t>
      </w:r>
    </w:p>
    <w:p>
      <w:r>
        <w:t>A/688/2023 - 16/18 -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10</w:t>
      </w:r>
    </w:p>
    <w:p>
      <w:r>
        <w:t>En l’espèce, la procédure clôturée par la décision du 6 février 2009 portait sur le droit de la recourante à une rente (ordinaire) entière d’invalidité, plus particulièrement sur la réalisation des conditions d’assurance. L’intimé a nié que ces conditions fussent remplies par la recourante, après avoir constaté que cette dernière ne remplissait pas les conditions d’assurance de l’art. 6 al. 2 LAI au moment de la survenance de son invalidité, le 1er janvier 2003. Cette décision n’a pas été contestée par la recourante. Ainsi, la question de savoir si selon l’art. 6 al. 2 LAI, la recourante a cotisé pendant au moins une année entière (cf. aussi l’art. 36 al. 1 LAI dans sa teneur en vigueur jusqu’au 31 décembre 2007) ou séjourné en Suisse de manière ininterrompue pendant dix ans au moment de la survenance de l’invalidité a déjà été tranchée par la décision entrée en force du 6 février 2009. L’intimé et la chambre de céans sont donc liés par cette décision (cf. ATF 136 V 369 consid. 3.2). Puisque la décision du 6 février 2009 a constaté que la recourante ne satisfaisait pas aux conditions d’assurance au moment de la survenance de l’invalidité, en janvier 2003, celle-ci ne peut prétendre à une rente d’invalidité sauf admission d’un nouveau cas d’assurance, ce qui implique la survenance d’une atteinte à la santé totalement différente de celle qui prévalait au moment du premier refus et propre, par sa nature et sa gravité, à causer une incapacité de travail de 40% au moins en moyenne sur une année (cf. arrêt du Tribunal fédéral 9C_697/2015 du 9 mai 2016 consid. 3.2). Par ailleurs, il est nécessaire que la survenance de ce nouveau cas d’assurance conduise à une augmentation du degré d’invalidité justifiant le passage à un échelon de rente supérieur (cf. ci-dessus : consid. 7.3 in fine). Dès lors que le dernier examen matériel du droit à la rente avec une constatation des faits pertinents remonte à la décision du 6 février 2009 et qu’il n’est pas contesté que l’invalidité de la recourante n’a pas connu d’interruption depuis sa</w:t>
      </w:r>
    </w:p>
    <w:p>
      <w:r>
        <w:t>A/688/2023 - 17/18 - survenance le 1er janvier 2003, le point décisif consiste, en principe, à déterminer si la comparaison de l’état de santé existant au moment de la décision initiale (insuffisance rénale terminale secondaire à une infection au VIH) avec la situation régnant au moment de la décision litigieuse, met en lumière l’apparition d’une atteinte à la santé totalement différente. Sachant toutefois que la décision du 6 février 2009, entrée en force, retenait un degré d’invalidité de 83%, correspondant déjà à une rente entière, une éventuelle atteinte à la santé nouvelle, qui serait totalement distincte de l’atteinte initiale, ne pourrait de toute manière pas conduire à un échelon de rente supérieur (cf. art. 28 al. 2 LAI). Bien qu’il ne soit pas nécessaire, dans ces conditions, d’examiner s’il est établi, au degré de la vraisemblance prépondérante, que les troubles multiples que la recourante présentait au moment de la décision attaquée découlent de l’atteinte rénale initiale et s’il existe un lien entre le VIH et cette atteinte – qui était de toute façon invalidante au 1er janvier 2003, indépendamment de son étiologie contestée par la recourante –, on relèvera néanmoins qu’il résulte en synthèse du rapport du 22 juillet 2002 de la Prof. D______, que cette atteinte initiale s’est péjorée depuis le rapport du Prof. C______ du 2 avril 2007 (aggravation de la fonction rénale du greffon et développement de complications d’insuffisance rénale chronique) et que cette évolution s’est accompagnée, à tout le moins d’un point de vue somatique, de divers troubles que la professeure précitée ne considère pas comme totalement distincts de l’atteinte initiale mais en rapport avec celle-ci, tant d’un point de vue neuropsychologique (troubles cognitifs), cardiaque (insuffisance cardiaque) que métabolique (diabète insulino-dépendant et prurit sine materia).</w:t>
      </w:r>
    </w:p>
    <w:p>
      <w:r>
        <w:rPr>
          <w:b/>
        </w:rPr>
        <w:t>E. 11</w:t>
      </w:r>
    </w:p>
    <w:p>
      <w:r>
        <w:t>Dans ces circonstances, le recours ne peut qu’être rejeté.</w:t>
      </w:r>
    </w:p>
    <w:p>
      <w:r>
        <w:rPr>
          <w:b/>
        </w:rPr>
        <w:t>E. 12</w:t>
      </w:r>
    </w:p>
    <w:p>
      <w:r>
        <w:t>Un émolument de CHF 200.- est mis à charge de la recourante, qui n’obtient pas gain de cause (art. 69 al. 1bis LAI).</w:t>
      </w:r>
    </w:p>
    <w:p>
      <w:r>
        <w:t>*****</w:t>
      </w:r>
    </w:p>
    <w:p>
      <w:r>
        <w:t>PAR CES MOTIFS, LA CHAMBRE DES ASSURANCES SOCIALES : Statuant</w:t>
      </w:r>
    </w:p>
    <w:p>
      <w:r>
        <w:t>A/688/2023 - 18/18 -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