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ATAS/114/2023 vom 22. Februar 2023</w:t>
      </w:r>
    </w:p>
    <w:p>
      <w:r>
        <w:t>GE Cour de justice, 2023-02-22, FR</w:t>
      </w:r>
    </w:p>
    <w:p>
      <w:r>
        <w:rPr>
          <w:b/>
        </w:rPr>
        <w:t xml:space="preserve">Quelle: </w:t>
      </w:r>
      <w:r>
        <w:t>https://mcp.opencaselaw.ch/entscheid/ge_gerichte_ATAS_114_2023</w:t>
      </w:r>
    </w:p>
    <w:p>
      <w:r>
        <w:t>FR: GE_GERICHTE ATAS/114/2023 du 22 février 2023</w:t>
      </w:r>
    </w:p>
    <w:p>
      <w:r>
        <w:t>IT: GE_GERICHTE ATAS/114/2023 del 22 febbraio 2023</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étant domiciliée dans le canton de Genève depuis le 3 février 2014 jusqu’au jour de sa faillite, la Cour de céans est également compétente ratione loci.</w:t>
      </w:r>
    </w:p>
    <w:p>
      <w:r>
        <w:rPr>
          <w:b/>
        </w:rPr>
        <w:t>E. 2</w:t>
      </w:r>
    </w:p>
    <w:p>
      <w:r>
        <w:t>Le 1er janvier 2020 est entrée en vigueur la révision du droit de la prescription de la loi fédérale du 30 mars 1911, complétant le Code civil suisse (CO - RS 220), entraînant la modification de l’art. 52 al. 3 LAVS. Les dispositions légales</w:t>
      </w:r>
    </w:p>
    <w:p>
      <w:r>
        <w:t>A/4182/2021 - 4/15 - applicables sont celles en vigueur au moment où les faits juridiquement déterminants se sont produits (ATF 130 V 445 consid. 1). En l’occurrence, il est reproché aux recourants de ne pas avoir payé les cotisations paritaires dues pour les années 2016 et 2017, c’est donc la teneur de l’art. 52 al. 3 LAVS en vigueur jusqu’au 31 décembre 2019 qui est applicable au cas d’espèce.</w:t>
      </w:r>
    </w:p>
    <w:p>
      <w:r>
        <w:rPr>
          <w:b/>
        </w:rPr>
        <w:t>E. 3</w:t>
      </w:r>
    </w:p>
    <w:p>
      <w:r>
        <w:t>Le délai de recours est de trente jours (art. 56 LPGA; art. 62 al. 1 de la de loi sur la procédure administrative du 12 septembre 1985 [LPA - E 5 10]). Interjetés dans les formes et délai prévus par la loi, les recours sont recevables.</w:t>
      </w:r>
    </w:p>
    <w:p>
      <w:r>
        <w:rPr>
          <w:b/>
        </w:rPr>
        <w:t>E. 4</w:t>
      </w:r>
    </w:p>
    <w:p>
      <w:r>
        <w:t>Le litige porte sur la responsabilité des recourants dans le préjudice causé à l’intimée par le défaut de paiement des cotisations sociales pour les années 2016 et 2017.</w:t>
      </w:r>
    </w:p>
    <w:p>
      <w:r>
        <w:rPr>
          <w:b/>
        </w:rPr>
        <w:t>E. 5</w:t>
      </w:r>
    </w:p>
    <w:p>
      <w:r>
        <w:t>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 À teneur de l’art. 52 LAVS, l’employeur qui, intentionnellement ou par négligence grave, n’observe pas des prescriptions et cause ainsi un dommage à l’assurance, est tenu à réparation (al. 1). La caisse de compensation compétente fait valoir sa créance en réparation du dommage par décision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w:t>
      </w:r>
    </w:p>
    <w:p>
      <w:r>
        <w:rPr>
          <w:b/>
        </w:rPr>
        <w:t>E. 6</w:t>
      </w:r>
    </w:p>
    <w:p>
      <w:r>
        <w:t>À titre liminaire, il convient d’examiner si la prétention de la caisse est prescrite.</w:t>
      </w:r>
    </w:p>
    <w:p>
      <w:r>
        <w:rPr>
          <w:b/>
        </w:rPr>
        <w:t>E. 6.1</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w:t>
      </w:r>
    </w:p>
    <w:p>
      <w:r>
        <w:t>A/4182/2021 - 5/15 -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En cas de faillite, le moment de la connaissance du dommage correspond en règle générale à celui du dépôt de l'état de collocation, ou celui de la publication de la suspension de la liquidation de la faillite faute d'actifs (ATF 129 V 193 consid. 2.3). Le dommage survient dès que l'on doit admettre que les cotisations dues ne peuvent plus être recouvrées, pour des motifs juridiques ou de fait (ATF 129 V 193 consid. 2.2; ATF 126 V 443 consid. 3a). Le dommage subi par la caisse est réputé être survenu le jour de la faillite (ATF 129 V 193 consid. 2.2 et la référence). Tandis que le juge ne peut interrompre la prescription que par une ordonnance ou une décision, « chaque acte judiciaire des parties » suffit à produire cet effet (art. 138 al. 1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6.2</w:t>
      </w:r>
    </w:p>
    <w:p>
      <w:r>
        <w:t>En l’espèce, la suspension de la liquidation de la faillite a été publiée dans la FOSC le 23 octobre 2020, ce qui a permis à l’intimée d’apprendre qu’elle subissait un dommage correspondant à son découvert de CHF 54'627.55. Elle a demandé la réparation de son dommage le 21 septembre 2021 à M. B______, le 7 octobre 2021 à M. A______ et le 14 janvier 2022 à Mme C______. Elle a ainsi agi dans le délai de prescription de deux ans depuis sa connaissance du dommage et dans le délai de prescription de cinq ans depuis la survenance de celui-ci.</w:t>
      </w:r>
    </w:p>
    <w:p>
      <w:r>
        <w:rPr>
          <w:b/>
        </w:rPr>
        <w:t>E. 7.1</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w:t>
      </w:r>
    </w:p>
    <w:p>
      <w:r>
        <w:t>A/4182/2021 - 6/15 -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D'autres personnes possèdent toutefois la qualité d'organe de fait de la société. Il s'agit de celles qui participent de façon durable, concrète et décisive à la formation de la volonté sociale dans un vaste domaine dépassant les affaires courantes (ATF 128 III 29 consid. 3a et les références; ATF 122 III 225 consid. 4b et les références). Dans cette éventualité, il faut cependant que la personne en question ait eu la possibilité de causer un dommage ou de l'empêcher, c'est-à-dire qu'elle ait effectivement exercé une influence sur la marche des affaires de la société (ATF 132 III 523 consid. 4.5 et les références; cf. aussi ATF 146 III 37 consid. 5 et 6 et les références).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 référence). La qualité d'organe est donc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w:t>
      </w:r>
    </w:p>
    <w:p>
      <w:r>
        <w:t>A/4182/2021 - 7/15 - de la société. La responsabilité pour la gestion ne vise ainsi que la direction supérieure de la société, au plus haut niveau de sa hiérarchie (ATF 117 II 572; arrêt du Tribunal fédéral des assurances H 128/04 du 14 février 2006 consid. 3). Un organe de fait n'est appelé à assumer une responsabilité que pour les domaines dans lesquels il a effectivement déployé une activité. Contrairement à un organe au sens formel, il n'a donc pas un devoir de surveillance (cura in custodiendo) à l'endroit de l'activité des autres organes, de fait ou de droit, de la société (arrêt du Tribunal fédéral des assurances H 128/04 du 14 février 2006 consid. 3). Il incombe à la caisse,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 Font typiquement partie des organes de fait les personnes qui, de par la force de leur position (associé majoritaire par exemple), donnent au gérant formel des instructions sur la conduite des affaires de la société (arrêt du Tribunal fédéral des assurance H 297/99 du 29 mai 2000 consid. 4 in Pratique VSI 2000/5 p. 228).</w:t>
      </w:r>
    </w:p>
    <w:p>
      <w:r>
        <w:rPr>
          <w:b/>
        </w:rPr>
        <w:t>E. 7.2</w:t>
      </w:r>
    </w:p>
    <w:p>
      <w:r>
        <w:t>En l’espèce, MM. B______ et A______ ont été organes formels de la société.</w:t>
      </w:r>
    </w:p>
    <w:p>
      <w:r>
        <w:rPr>
          <w:b/>
        </w:rPr>
        <w:t>E. 7.3</w:t>
      </w:r>
    </w:p>
    <w:p>
      <w:r>
        <w:t>S’agissant de Mme C______, se pose la question de savoir si elle doit se voir reconnaître la qualité d’organe de fait.</w:t>
      </w:r>
    </w:p>
    <w:p>
      <w:r>
        <w:rPr>
          <w:b/>
        </w:rPr>
        <w:t>E. 7.3.1</w:t>
      </w:r>
    </w:p>
    <w:p>
      <w:r>
        <w:t>M. B______ a fait valoir que la prise de décisions et la gestion financière de la société étaient assurées exclusivement par Mme C______. Il a produit : - un courrier adressé à cette dernière le 11 novembre 2020, dans lequel il se plaignait du fait qu’elle ne lui avait pas confié la comptabilité et les ressources humaines de la société et qu’elle l’avait forcé à travailler avec des collaborateurs testés dans une autre de ses entreprises. - un procès-verbal d’interrogatoire du 8 mai 2020 de l’office cantonal des faillites, dont il ressort qu’il n’avait pas pu répondre à plusieurs questions qui lui étaient posées sur la société et qu’il avait expliqué cela par le fait que Mme C______ s’immisçait dans une grande partie des activités. - et un courriel adressé le 23 janvier 2020 par Mme C______ à Monsieur H______ lui demandant de verser sur son compte le retour de chauffage pour « J______ » et le décompte de chauffage de la régie adressé à la société le 15 décembre 2019.</w:t>
      </w:r>
    </w:p>
    <w:p>
      <w:r>
        <w:rPr>
          <w:b/>
        </w:rPr>
        <w:t>E. 7.3.2</w:t>
      </w:r>
    </w:p>
    <w:p>
      <w:r>
        <w:t>M. A______ a déclaré à la chambre de céans que Mme C______ l’avait engagé en tant que détenteur de patente comme barman responsable. Il avait des réunions avec celle-ci sur le fonctionnement concret du club. Il avait été licencié par Mme C______ en raison d'une restructuration.</w:t>
      </w:r>
    </w:p>
    <w:p>
      <w:r>
        <w:t>A/4182/2021 - 8/15 - Il a produit un certificat de travail établi pour lui le 23 mai 2018 et signé par Mme C______ au nom de la société.</w:t>
      </w:r>
    </w:p>
    <w:p>
      <w:r>
        <w:rPr>
          <w:b/>
        </w:rPr>
        <w:t>E. 7.3.3</w:t>
      </w:r>
    </w:p>
    <w:p>
      <w:r>
        <w:t>M. D______ a indiqué qu’il avait été engagé en tant qu'administrateur de la société par Mme C______ et que c’était cette dernière qui lui donnait des instructions. M. J______ s'occupait de la comptabilité, que Mme C______ validait ensuite. Cette dernière décidait ce qui était payé en premier et ce qu'il fallait faire.</w:t>
      </w:r>
    </w:p>
    <w:p>
      <w:r>
        <w:rPr>
          <w:b/>
        </w:rPr>
        <w:t>E. 7.3.4</w:t>
      </w:r>
    </w:p>
    <w:p>
      <w:r>
        <w:t>Mme C______ a contesté avoir géré la société de quelque manière que ce soit. Pour le démontrer, elle a produit - un échange de messages du 23 décembre 2019, dont il ressort que M. B______ lui disait qu’il avait plusieurs choses à se faire rembourser et qu’elle lui répondait d’organiser directement son paiement depuis la caisse et de voir avec Klaudia, ajoutant qu’elle ne s’occupait pas des caisses et qu’elle ne savait donc pas s’il y avait des erreurs ou pas. - un autre échange de messages du 27 octobre 2020, dont il ressort que M. B______ demandait à Mme C______ de rappeler à K______ qu’il était administrateur de la société et donc son supérieur hiérarchique, ce qui était accepté par Mme C______. - une attestation établie le 28 octobre 2022 par Monsieur L______, lequel indiquait avoir été employé par la société de 2014 à mars 2017 pour vérifier et gérer le bon déroulement des tâches administratives, avec son assistante, Mme J______. Il était responsable des salaires et du paiement des charges sociales notamment. Mme C______ cosignait les factures pour leur libération sur les comptes. Dans les cas exceptionnels de litiges sur le montant des factures ou avec les employés, ou en cas de retards de paiement, il en informait Mme C______, pour recevoir de sa part un mandat de négociation. À part cette implication sporadique et occasionnelle, Mme C______ ne s’occupait pas des dossiers administratifs (ressources humaines et finances). Son rôle dans le domaine opérationnel se focalisait sur les travaux de construction et rénovation, le design des établissements, les problèmes relationnels entre les employés, les relations publiques, la recherche de collaborations, les directives pour la carte des mets ainsi que la recherche de nouveaux projets.</w:t>
      </w:r>
    </w:p>
    <w:p>
      <w:r>
        <w:rPr>
          <w:b/>
        </w:rPr>
        <w:t>E. 7.4</w:t>
      </w:r>
    </w:p>
    <w:p>
      <w:r>
        <w:t>Les déclarations des administrateurs de la société, qui sont corroborées par les pièces produites, démontrent, au degré de la vraisemblance prépondérante, que c’était Mme C______ qui dirigeait concrètement la société, dont elle était l’actionnaire principale. S’il ressort des pièces produites qu’elle avait délégué des tâches de gestion, notamment à M. L______ et Mme J______, et qu’elle ne s’occupait pas personnellement des paiements de la société, elle avait clairement un rôle essentiel dans la gestion de la société, puisqu’elle contrôlait les comptes et donnait des instructions aux administrateurs, qui s’en référaient à elle en cas de problèmes. Il convient dès lors de retenir qu’elle était organe de fait de la société.</w:t>
      </w:r>
    </w:p>
    <w:p>
      <w:r>
        <w:t>A/4182/2021 - 9/15 -</w:t>
      </w:r>
    </w:p>
    <w:p>
      <w:r>
        <w:rPr>
          <w:b/>
        </w:rPr>
        <w:t>E. 8</w:t>
      </w:r>
    </w:p>
    <w:p>
      <w:r>
        <w:t>Il convient maintenant de déterminer si les recourants ont commis une faute qualifiée ou une négligence grave au sens de l’art. 52 al. 1 LAVS.</w:t>
      </w:r>
    </w:p>
    <w:p>
      <w:r>
        <w:rPr>
          <w:b/>
        </w:rPr>
        <w:t>E. 8.1</w:t>
      </w:r>
    </w:p>
    <w:p>
      <w:r>
        <w:t>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w:t>
      </w:r>
    </w:p>
    <w:p>
      <w:r>
        <w:t>A/4182/2021 - 10/15 - entreprise sans faire en sorte qu'ils servent en priorité à payer les cotisations sociales en souffrance (arrêt du Tribunal fédéral des assurances H 305/00 du 6 septembre 2001 consid. 4b).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w:t>
      </w:r>
    </w:p>
    <w:p>
      <w:r>
        <w:t>A/4182/2021 - 11/15 - l’incapacité d'exercer son devoir de surveillance (voir par exemple : arrêt du Tribunal fédéral 9C_344/2011 du 3 février 2012 consid. 4.3).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w:t>
      </w:r>
    </w:p>
    <w:p>
      <w:r>
        <w:rPr>
          <w:b/>
        </w:rPr>
        <w:t>E. 8.2.1</w:t>
      </w:r>
    </w:p>
    <w:p>
      <w:r>
        <w:t>S’agissant de M. B______, il a fait valoir qu’il n’avait débuté son mandat d’administrateur de la société qu’à l’été 2018, de sorte que les sommes réclamées correspondaient aux cotisations sociales antérieures à sa prise de fonction.</w:t>
      </w:r>
    </w:p>
    <w:p>
      <w:r>
        <w:t>A/4182/2021 - 12/15 - L’intimée lui a réclamé le solde des cotisations paritaires demeurées impayées par la société et dues pour les années 2016-2017. Certes, il n’était pas encore administrateur au moment où ces cotisations sont venues à échéance, mais en vertu de la jurisprudence précitée, il pouvait être tenu responsable des cotisations déjà venues à échéance qui devaient encore être versées.</w:t>
      </w:r>
    </w:p>
    <w:p>
      <w:r>
        <w:rPr>
          <w:b/>
        </w:rPr>
        <w:t>E. 8.2.2</w:t>
      </w:r>
    </w:p>
    <w:p>
      <w:r>
        <w:t>M. B______ a fait encore valoir qu’il ne disposait d’aucun pouvoir de décision effectif et qu’il n’avait pas accès aux comptes ni aux pièces comptables de la société, contrairement à Mme C______. Comme l’a relevé l’intimée, s’il ne pouvait pas exercer concrètement son mandat, il lui appartenait de démissionner, ce qu’il n’a pas fait, puisqu’il est resté administrateur de la société du 24 avril 2018 au 15 décembre 2020. Le fait d’avoir invité Mme C______ à payer les cotisations sociales ne suffit pas à l’exonérer de sa responsabilité dans le dommage de l’intimée.</w:t>
      </w:r>
    </w:p>
    <w:p>
      <w:r>
        <w:rPr>
          <w:b/>
        </w:rPr>
        <w:t>E. 8.3.1</w:t>
      </w:r>
    </w:p>
    <w:p>
      <w:r>
        <w:t>S’agissant de M. A______, il ne se considère pas responsable du dommage causé à l’intimée, car le paiement des cotisations paritaires n’entrait pas dans ses tâches. Dans la mesure où il a accepté le rôle d’administrateur de la société, il devait s’assurer du paiement de ces cotisations et démissionner s’il ne pouvait le faire. Il a ainsi commis une négligence grave.</w:t>
      </w:r>
    </w:p>
    <w:p>
      <w:r>
        <w:rPr>
          <w:b/>
        </w:rPr>
        <w:t>E. 8.4</w:t>
      </w:r>
    </w:p>
    <w:p>
      <w:r>
        <w:t>Quant à Mme C______, elle n’a pas veillé au versement des cotisations courantes alors qu’elle dirigeait concrètement la société et elle a ainsi commis une faute grave au sens de l’art. 52 LAVS.</w:t>
      </w:r>
    </w:p>
    <w:p>
      <w:r>
        <w:rPr>
          <w:b/>
        </w:rPr>
        <w:t>E. 9</w:t>
      </w:r>
    </w:p>
    <w:p>
      <w:r>
        <w:t>La responsabilité de l'employeur au sens de l'art. 52 LAVS suppose enfin un rapport de causalité (naturelle et) adéquate entre la violation intentionnelle ou par négligence grave des prescriptions et la survenance du dommage.</w:t>
      </w:r>
    </w:p>
    <w:p>
      <w:r>
        <w:rPr>
          <w:b/>
        </w:rPr>
        <w:t>E. 9.1</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407 consid. 4; arrêt du Tribunal fédéral des assurances H 71/05 du 10 août 2006</w:t>
      </w:r>
    </w:p>
    <w:p>
      <w:r>
        <w:t>A/4182/2021 - 13/15 - consid. 5.1; arrêt du Tribunal fédéral des assurances H 295/00 du 22 janvier 2001 consid. 6a).</w:t>
      </w:r>
    </w:p>
    <w:p>
      <w:r>
        <w:rPr>
          <w:b/>
        </w:rPr>
        <w:t>E. 9.2</w:t>
      </w:r>
    </w:p>
    <w:p>
      <w:r>
        <w:t>La passivité des trois recourants est en relation de causalité naturelle et adéquate avec le dommage subi par l’intimée, dès lors que s’ils avaient correctement exécuté leur mandat, ils auraient pu veiller au paiement des cotisations aux assurances sociales. Leur comportement a donc favorisé la survenance du dommage.</w:t>
      </w:r>
    </w:p>
    <w:p>
      <w:r>
        <w:rPr>
          <w:b/>
        </w:rPr>
        <w:t>E. 10.1</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Par arrêt du 30 janvier 2020 (ATAS/79/2020), la chambre de céans a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Selon l’art. 11A LAMat, entré en vigueur le 1er février 2023, l’employeur qui, intentionnellement ou par négligence grave, n’observe pas des prescriptions et cause ainsi un dommage au fonds cantonal de compensation de l’assurance- maternité ou à la caisse de compensation AVS est tenu de le réparer. L’art. 52 de la loi sur l’assurance-vieillesse et survivants s’applique par analogie.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10.2</w:t>
      </w:r>
    </w:p>
    <w:p>
      <w:r>
        <w:t>En l’occurrence, les décisions querellées ayant été rendues antérieurement au 1er février 2023, l’art. 11A LAMat ne s’applique pas au cas d’espèce. L’intimée ayant indiqué dans les décisions sur opposition qu’elle imputerait du montant exigé les sommes correspondant aux cotisations de la LAMat comptabilisées, celles-ci sont conformes au droit sur ce point. Les recourants n’ont par ailleurs pas contesté le montant du dommage établi par l’intimée, qui n’appelle pas la critique.</w:t>
      </w:r>
    </w:p>
    <w:p>
      <w:r>
        <w:rPr>
          <w:b/>
        </w:rPr>
        <w:t>E. 11</w:t>
      </w:r>
    </w:p>
    <w:p>
      <w:r>
        <w:t>Les faits de la cause étant suffisamment établis pour la juger, la CJCAS renoncera à reconvoquer Mme C______ et à entendre Mme J______.</w:t>
      </w:r>
    </w:p>
    <w:p>
      <w:r>
        <w:rPr>
          <w:b/>
        </w:rPr>
        <w:t>E. 12</w:t>
      </w:r>
    </w:p>
    <w:p>
      <w:r>
        <w:t>Au vu de ce qui précède, les recours doivent être rejetés.</w:t>
      </w:r>
    </w:p>
    <w:p>
      <w:r>
        <w:t>A/4182/2021 - 14/15 - Pour le surplus, la procédure est gratuite (art. 89H al. 1 LPA).</w:t>
      </w:r>
    </w:p>
    <w:p>
      <w:r>
        <w:t>A/4182/2021 - 15/15 -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