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ATAS/114/2008 vom 28. Januar 2008</w:t>
      </w:r>
    </w:p>
    <w:p>
      <w:r>
        <w:t>GE Cour de justice, 2008-01-28, FR</w:t>
      </w:r>
    </w:p>
    <w:p>
      <w:r>
        <w:rPr>
          <w:b/>
        </w:rPr>
        <w:t xml:space="preserve">Quelle: </w:t>
      </w:r>
      <w:r>
        <w:t>https://mcp.opencaselaw.ch/entscheid/ge_gerichte_ATAS_114_2008</w:t>
      </w:r>
    </w:p>
    <w:p>
      <w:r>
        <w:t>FR: GE_GERICHTE ATAS/114/2008 du 28 janvier 2008</w:t>
      </w:r>
    </w:p>
    <w:p>
      <w:r>
        <w:t>IT: GE_GERICHTE ATAS/114/2008 del 28 gennaio 2008</w:t>
      </w:r>
    </w:p>
    <w:p>
      <w:pPr>
        <w:pStyle w:val="Heading2"/>
      </w:pPr>
      <w:r>
        <w:t>Erwägungen</w:t>
      </w:r>
    </w:p>
    <w:p>
      <w:r>
        <w:rPr>
          <w:b/>
        </w:rPr>
        <w:t>E. 1</w:t>
      </w:r>
    </w:p>
    <w:p>
      <w:r>
        <w:t>Par ordonnance du 30 août 2007, le Tribunal de céans a déclaré le recours recevable et la LGPA applicable au cas d'espèce.</w:t>
      </w:r>
    </w:p>
    <w:p>
      <w:r>
        <w:rPr>
          <w:b/>
        </w:rPr>
        <w:t>E. 2</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3</w:t>
      </w:r>
    </w:p>
    <w:p>
      <w:r>
        <w:t>a) Depuis l'entrée en vigueur, le 1er janvier 2004, de la novelle du 21 mars 2003 modifiant la LAI (4ème révision) la teneur de l'art. 28 al. 1 LAI est la suivante : «1. L'assuré a droit à une rente s'il est invalide à 40% au moins. La rente est échelonnée comme suit, selon le taux d'invalidité : 40% au moins un quart, 50% au moins une demie, 60% au moins trois quarts, 70% au moins rente entière.». Le nouveau droit permet désormais d'octroyer trois quarts de rente à l'assuré dont le degré d'invalidité atteint 60%, alors que le taux ouvrant droit à une rente entière est passé de 66 2/3% à 70%. Selon la lettre f des dispositions finales de la modification du 21 mars 2003, les rentes entières en cours perçues au titre d'un taux d'invalidité égal ou supérieur à 66 2/3% continuent d'être versées, après l'entrée en vigueur des nouvelles dispositions légales, à tous les rentiers qui, à ce moment là, ont atteint l'âge de 50 ans. Toutes les autres rentes entières perçues au titre d'une invalidité inférieure à 70%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L’existence d’une incapacité de gain durable (art. 29 al. 1 let. a LAI) doit être admise lorsque l’atteinte à la santé est largement stabilisée et essentiellement</w:t>
      </w:r>
    </w:p>
    <w:p>
      <w:r>
        <w:t>A/3792/2006 - 11/20 -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4</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 art. 1 al. 1 LAI en corrélation avec l'art. 16 LPGA; depuis le 1er janvier 2004 :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w:t>
      </w:r>
    </w:p>
    <w:p>
      <w:r>
        <w:t>A/3792/2006 - 12/20 -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w:t>
      </w:r>
    </w:p>
    <w:p>
      <w:r>
        <w:t>A/3792/2006 - 13/20 -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w:t>
      </w:r>
    </w:p>
    <w:p>
      <w:r>
        <w:t>A/3792/2006 - 14/20 - 120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t>A/3792/2006 - 15/20 -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7</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w:t>
      </w:r>
    </w:p>
    <w:p>
      <w:r>
        <w:t>A/3792/2006 - 16/20 -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t>A/3792/2006 - 17/20 -</w:t>
      </w:r>
    </w:p>
    <w:p>
      <w:r>
        <w:rPr>
          <w:b/>
        </w:rPr>
        <w:t>E. 8</w:t>
      </w:r>
    </w:p>
    <w:p>
      <w:r>
        <w:t>a) Préalablement, il est à relever que peu après l'ordonnance du 30 août 2007 du Tribunal de céans, soit dans un arrêt du 31 août 2007 (I 65/07), le Tribunal fédéral a jugé que dans un rapport SMR du 13 septembre 2004, la Dresse LN_________,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LN_________, les irrégularités d'ordre formel liées à sa personne et à l'exercice de son activité au sein du SMR entachaient la fiabilité du rapport médical établi sur mandat de l'administration. Dès lors, on ne pouvait accorder une pleine valeur probante à l'appréciation médicale du</w:t>
      </w:r>
    </w:p>
    <w:p>
      <w:r>
        <w:rPr>
          <w:b/>
        </w:rPr>
        <w:t>E. 13</w:t>
      </w:r>
    </w:p>
    <w:p>
      <w:r>
        <w:t>septembre 2004 ni, partant, en tirer des conclusions absolues sur l'évolution de l'état de santé de la recourante depuis l'octroi initial de la rente. Aussi, la juridiction cantonale n'était-elle pas en droit de fonder son appréciation sur ce seul avis médical d'une valeur probante affaiblie. b) Dans le cas d'espèce, la Dresse LN_________ a rendu un rapport médical le 21 mars 2006 signé "psychiatre FMH" alors qu'elle n'en avait pas le titre et qu'elle n'était pas autorisée à travailler en tant que médecin dépendant. La situation étant similaire au cas précité, il convient d'en conclure que la valeur probante de l'appréciation faite par la Dresse LN_________ est affaiblie et que l'OCAI ne saurait se fonder sur cette appréciation médicale pour fonder sa décision de refus. 9. Le Tribunal de céans constate ensuite que l'expertise judiciaire du Dr LP_________ remplit toutes les exigences pour qu'il lui soit reconnu une pleine valeur probante. Elle repose en effet sur deux examens du recourant, un entretien avec le Dr T_________ et l'étude de l'ensemble du dossier médical. Elle tient compte des plaintes de l'intéressé, est complète et bien motivée. En particulier, chaque diagnostic posé a fait l'objet d'une motivation spécifique de l'expert. Le Tribunal de céans, n'a dès lors aucune raison de s'écarter des conclusions de cette expertise médicale, ce d'autant que, comme il a été exposé ci-dessus, l'appréciation de la Dresse LN_________ ne saurait être retenue et les critiques de la Dresse LQ_________, laquelle n'est d'ailleurs pas spécialiste en psychiatrie, ne résistent pas à l'examen, comme il sera exposé ci-après. S'agissant de celles-ci en effet, l'expert, contrairement à l'avis de la Dresse LQ_________ a motivé le caractère invalidant du trouble de la personnalité en expliquant que la fragilité de la personnalité du recourant s'est traduite par le recours à des substances toxiques et par un manque d'estime de soi, une fragilité de l'humeur et des comportements impulsifs, violents, méfiants, persécutoires. Conjugué avec les tics, le trouble entraîne une limitation de la tolérance au stress</w:t>
      </w:r>
    </w:p>
    <w:p>
      <w:r>
        <w:t>A/3792/2006 - 18/20 - social, soit le fait de contrôler son comportement vis-à-vis des autres, de faire son travail en interaction avec autrui et sous le regard d'autrui, ainsi qu'une diminution de la concentration et de l'attention (expertise p. 12 et 15). L'expert a estimé que la désignation clinique des médecins et infirmières des HUG lors des séjours du recourant à Belle-Idée était suggestive d'épisodes dépressifs francs, ce qui justifiait le diagnostic de trouble dépressif récurrent et de dysthymie en raison d'un état sub-dépressif chronique. Contrairement à l'avis de la Dresse LQ_________, l'expert n'affirme pas que le recourant vit une désinsertion sociale dans tous les domaines de la vie mais qu'il est désinséré socialement pour ce qui est de la vie professionnelle (expertise p.15) qu'hormis les contacts avec ses proches, il a une vie sociale pauvre (expertise p.16) et qu'il subit en partie une perte d'intégration sociale (expertise p.17). Par ailleurs, la limitation de la capacité de travail de 40% ne tient pas compte du trouble somatoforme douloureux, de telle manière qu'il est inutile d'examiner si l'expert a retenu à tort ou à raison les critères jurisprudentiels exigés par la jurisprudence pour reconnaître un caractère invalidant à un tel trouble. L'expert a en effet considéré que la capacité de travail n'était limitée que par le trouble de la personnalité et les tics et qu'il était peu probable que les douleurs somatoformes entraînent une limitation de la capacité supérieure au taux de 40% (expertise p.18). En concluant de cette manière, l'expert a considéré que, du point de vue des troubles somatoformes douloureux, le recourant était en mesure de surmonter ses douleurs et de réintégrer une activité professionnelle limitée à un taux de 60%. Enfin, l'expert a souligné que les limitations constatées sur le plan psychique étaient présentes depuis octobre 2002, avec aggravation des tics depuis lors, ce qui explique que le recourant ait pu travailler antérieurement à cette date. 10. Le recourant estime cependant qu'une expertise somatique est encore nécessaire. Or, il ressort du dossier que, du point de vue physique, le recourant a été vu par le Dr R_________, en août 2002, lequel a estimé qu'il présentait une asthénie et des douleurs diffuses, par le Dr U_________ en octobre 2002, lequel a exclu une atteinte somatique pouvant expliquer les douleurs et que les Drs T_________, P_________ et l'expert LP_________ ont posé le diagnostic de trouble somatoforme persistant, ce dernier médecin précisant que le dossier médical ne mentionnait pas d'atteintes somatiques justifiant l'étendue des plaintes douloureuses, diffuses et multiples. Enfin, le recourant se contente dans ses dernières observations de se référer à un avis du Dr P_________ du 6 octobre 2006 selon lequel il souffrirait de différentes maladies organiques et psychiques sans préciser quelles affections ou problèmes n'auraient pas été investigués. Or, le Dr P_________ mentionne dans son rapport du 2 mars 2004 à l'OCAI un syndrome somatoforme douloureux chronique, des troubles comportementaux liés à</w:t>
      </w:r>
    </w:p>
    <w:p>
      <w:r>
        <w:t>A/3792/2006 - 19/20 - l'alcoolisme, un status après opération d'une hernie cervicale, une dépression chronique et un syndrome Gilles de la Tourette, affections qui ont été prises en compte dans le rapport d'expertise. Il n'y a ainsi pas lieu d'ordonner une expertise visant d'éventuelles affections somatiques. 11. Au vu de ce qui précède, il convient de retenir les conclusions de l'expert, soit une incapacité de travail du recourant de 40% depuis le 1er octobre 2002 dans toutes activité, entraînant ainsi un taux d'invalidé de 60%. En conséquence, le recourant a droit à une demi-rente d'invalidité du 1er octobre au 31 décembre 2003 et dès le 1er avril 2004, en raison de la modification législative précitée, à un trois quarts de rente d'invalidité. 12. Le recours sera donc partiellement admis, la décision litigieuse annulée et il sera dit que le recourant a droit à une demi-rente d'invalidité du 1er octobre au 31 décembre 2003 et à un trois quarts de rente d'invalidité depuis le 1er janvier 2004.</w:t>
      </w:r>
    </w:p>
    <w:p>
      <w:r>
        <w:t>A/3792/2006 - 20/20 -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